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1DF4" w14:textId="245411FC" w:rsidR="003F6BBA" w:rsidRDefault="003F6BBA" w:rsidP="003952EE">
      <w:pPr>
        <w:spacing w:line="240" w:lineRule="auto"/>
        <w:rPr>
          <w:rFonts w:ascii="Arial" w:hAnsi="Arial" w:cs="Arial"/>
          <w:color w:val="757575"/>
          <w:sz w:val="20"/>
          <w:szCs w:val="20"/>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50560" behindDoc="0" locked="0" layoutInCell="1" allowOverlap="1" wp14:anchorId="452EA4A5" wp14:editId="5EDE8A3A">
                <wp:simplePos x="0" y="0"/>
                <wp:positionH relativeFrom="margin">
                  <wp:align>center</wp:align>
                </wp:positionH>
                <wp:positionV relativeFrom="paragraph">
                  <wp:posOffset>-88900</wp:posOffset>
                </wp:positionV>
                <wp:extent cx="765810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28725"/>
                        </a:xfrm>
                        <a:prstGeom prst="rect">
                          <a:avLst/>
                        </a:prstGeom>
                        <a:solidFill>
                          <a:srgbClr val="002060"/>
                        </a:solidFill>
                        <a:ln w="57150">
                          <a:no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FFBEDDE" w:rsidR="00C3678B" w:rsidRPr="00E45972" w:rsidRDefault="00EF5047" w:rsidP="00C3678B">
                            <w:pPr>
                              <w:jc w:val="center"/>
                              <w:rPr>
                                <w:rFonts w:ascii="Georgia" w:hAnsi="Georgia"/>
                                <w:sz w:val="28"/>
                                <w:szCs w:val="28"/>
                              </w:rPr>
                            </w:pPr>
                            <w:r>
                              <w:rPr>
                                <w:rFonts w:ascii="Georgia" w:hAnsi="Georgia"/>
                                <w:sz w:val="28"/>
                                <w:szCs w:val="28"/>
                              </w:rPr>
                              <w:t>5</w:t>
                            </w:r>
                            <w:r w:rsidRPr="00EF5047">
                              <w:rPr>
                                <w:rFonts w:ascii="Georgia" w:hAnsi="Georgia"/>
                                <w:sz w:val="28"/>
                                <w:szCs w:val="28"/>
                                <w:vertAlign w:val="superscript"/>
                              </w:rPr>
                              <w:t>th</w:t>
                            </w:r>
                            <w:r>
                              <w:rPr>
                                <w:rFonts w:ascii="Georgia" w:hAnsi="Georgia"/>
                                <w:sz w:val="28"/>
                                <w:szCs w:val="28"/>
                              </w:rPr>
                              <w:t xml:space="preserve"> </w:t>
                            </w:r>
                            <w:r w:rsidR="0086072D">
                              <w:rPr>
                                <w:rFonts w:ascii="Georgia" w:hAnsi="Georgia"/>
                                <w:sz w:val="28"/>
                                <w:szCs w:val="28"/>
                              </w:rPr>
                              <w:t xml:space="preserve">July </w:t>
                            </w:r>
                            <w:r w:rsidR="00C3678B" w:rsidRPr="00E45972">
                              <w:rPr>
                                <w:rFonts w:ascii="Georgia" w:hAnsi="Georgia"/>
                                <w:sz w:val="28"/>
                                <w:szCs w:val="28"/>
                              </w:rPr>
                              <w:t>20</w:t>
                            </w:r>
                            <w:r w:rsidR="00442A99">
                              <w:rPr>
                                <w:rFonts w:ascii="Georgia" w:hAnsi="Georgia"/>
                                <w:sz w:val="28"/>
                                <w:szCs w:val="28"/>
                              </w:rPr>
                              <w:t>2</w:t>
                            </w:r>
                            <w:r w:rsidR="00D96EAD">
                              <w:rPr>
                                <w:rFonts w:ascii="Georgia" w:hAnsi="Georgia"/>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0;margin-top:-7pt;width:603pt;height:96.75pt;z-index:251650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" fillcolor="#002060" stroked="f"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FFBEDDE" w:rsidR="00C3678B" w:rsidRPr="00E45972" w:rsidRDefault="00EF5047" w:rsidP="00C3678B">
                      <w:pPr>
                        <w:jc w:val="center"/>
                        <w:rPr>
                          <w:rFonts w:ascii="Georgia" w:hAnsi="Georgia"/>
                          <w:sz w:val="28"/>
                          <w:szCs w:val="28"/>
                        </w:rPr>
                      </w:pPr>
                      <w:r>
                        <w:rPr>
                          <w:rFonts w:ascii="Georgia" w:hAnsi="Georgia"/>
                          <w:sz w:val="28"/>
                          <w:szCs w:val="28"/>
                        </w:rPr>
                        <w:t>5</w:t>
                      </w:r>
                      <w:r w:rsidRPr="00EF5047">
                        <w:rPr>
                          <w:rFonts w:ascii="Georgia" w:hAnsi="Georgia"/>
                          <w:sz w:val="28"/>
                          <w:szCs w:val="28"/>
                          <w:vertAlign w:val="superscript"/>
                        </w:rPr>
                        <w:t>th</w:t>
                      </w:r>
                      <w:r>
                        <w:rPr>
                          <w:rFonts w:ascii="Georgia" w:hAnsi="Georgia"/>
                          <w:sz w:val="28"/>
                          <w:szCs w:val="28"/>
                        </w:rPr>
                        <w:t xml:space="preserve"> </w:t>
                      </w:r>
                      <w:r w:rsidR="0086072D">
                        <w:rPr>
                          <w:rFonts w:ascii="Georgia" w:hAnsi="Georgia"/>
                          <w:sz w:val="28"/>
                          <w:szCs w:val="28"/>
                        </w:rPr>
                        <w:t xml:space="preserve">July </w:t>
                      </w:r>
                      <w:r w:rsidR="00C3678B" w:rsidRPr="00E45972">
                        <w:rPr>
                          <w:rFonts w:ascii="Georgia" w:hAnsi="Georgia"/>
                          <w:sz w:val="28"/>
                          <w:szCs w:val="28"/>
                        </w:rPr>
                        <w:t>20</w:t>
                      </w:r>
                      <w:r w:rsidR="00442A99">
                        <w:rPr>
                          <w:rFonts w:ascii="Georgia" w:hAnsi="Georgia"/>
                          <w:sz w:val="28"/>
                          <w:szCs w:val="28"/>
                        </w:rPr>
                        <w:t>2</w:t>
                      </w:r>
                      <w:r w:rsidR="00D96EAD">
                        <w:rPr>
                          <w:rFonts w:ascii="Georgia" w:hAnsi="Georgia"/>
                          <w:sz w:val="28"/>
                          <w:szCs w:val="28"/>
                        </w:rPr>
                        <w:t>1</w:t>
                      </w:r>
                    </w:p>
                  </w:txbxContent>
                </v:textbox>
                <w10:wrap anchorx="margin"/>
              </v:shape>
            </w:pict>
          </mc:Fallback>
        </mc:AlternateContent>
      </w:r>
    </w:p>
    <w:p w14:paraId="4587C694" w14:textId="41EBB32B" w:rsidR="003F6BBA" w:rsidRDefault="003F6BBA" w:rsidP="003952EE">
      <w:pPr>
        <w:spacing w:line="240" w:lineRule="auto"/>
        <w:rPr>
          <w:rFonts w:ascii="Arial" w:hAnsi="Arial" w:cs="Arial"/>
          <w:color w:val="757575"/>
          <w:sz w:val="20"/>
          <w:szCs w:val="20"/>
          <w:shd w:val="clear" w:color="auto" w:fill="FFFFFF"/>
        </w:rPr>
      </w:pPr>
    </w:p>
    <w:p w14:paraId="3AA9F638" w14:textId="4BA012B5" w:rsidR="003F6BBA" w:rsidRDefault="003F6BBA" w:rsidP="003952EE">
      <w:pPr>
        <w:spacing w:line="240" w:lineRule="auto"/>
        <w:rPr>
          <w:rFonts w:ascii="Arial" w:hAnsi="Arial" w:cs="Arial"/>
          <w:color w:val="757575"/>
          <w:sz w:val="20"/>
          <w:szCs w:val="20"/>
          <w:shd w:val="clear" w:color="auto" w:fill="FFFFFF"/>
        </w:rPr>
      </w:pPr>
    </w:p>
    <w:p w14:paraId="2D884351" w14:textId="49FDFE04" w:rsidR="003F6BBA" w:rsidRDefault="003F6BBA" w:rsidP="003952EE">
      <w:pPr>
        <w:spacing w:line="240" w:lineRule="auto"/>
        <w:rPr>
          <w:rFonts w:ascii="Arial" w:hAnsi="Arial" w:cs="Arial"/>
          <w:color w:val="757575"/>
          <w:sz w:val="20"/>
          <w:szCs w:val="20"/>
          <w:shd w:val="clear" w:color="auto" w:fill="FFFFFF"/>
        </w:rPr>
      </w:pPr>
    </w:p>
    <w:p w14:paraId="7C2A2908" w14:textId="4FB6A5C2" w:rsidR="003F6BBA" w:rsidRDefault="003F6BBA" w:rsidP="003952EE">
      <w:pPr>
        <w:spacing w:line="240" w:lineRule="auto"/>
        <w:rPr>
          <w:rFonts w:ascii="Arial" w:hAnsi="Arial" w:cs="Arial"/>
          <w:color w:val="757575"/>
          <w:sz w:val="20"/>
          <w:szCs w:val="20"/>
          <w:shd w:val="clear" w:color="auto" w:fill="FFFFFF"/>
        </w:rPr>
      </w:pPr>
    </w:p>
    <w:p w14:paraId="3683C1A4" w14:textId="171AE894" w:rsidR="00E44CBE" w:rsidRDefault="00E44CBE" w:rsidP="003952EE">
      <w:pPr>
        <w:spacing w:line="240" w:lineRule="auto"/>
        <w:rPr>
          <w:rFonts w:ascii="Arial" w:hAnsi="Arial" w:cs="Arial"/>
          <w:color w:val="757575"/>
          <w:sz w:val="20"/>
          <w:szCs w:val="20"/>
          <w:shd w:val="clear" w:color="auto" w:fill="FFFFFF"/>
        </w:rPr>
      </w:pPr>
      <w:r w:rsidRPr="00E44CBE">
        <w:rPr>
          <w:rFonts w:ascii="Arial" w:hAnsi="Arial" w:cs="Arial"/>
          <w:color w:val="757575"/>
          <w:sz w:val="20"/>
          <w:szCs w:val="20"/>
          <w:shd w:val="clear" w:color="auto" w:fill="FFFFFF"/>
        </w:rPr>
        <w:t xml:space="preserve">Energy bills are driven by both the price of energy on the wholesale market and Third-Party Costs (TPCs). TPCs include non-energy costs set by the government, network (the National Grid), policy and system costs and electricity transmission/distribution costs. </w:t>
      </w:r>
    </w:p>
    <w:p w14:paraId="6EA6C30A" w14:textId="6CFD119A"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7B694C6F" w14:textId="61861EF7" w:rsidR="00AF614F" w:rsidRPr="00215E06" w:rsidRDefault="005313F5" w:rsidP="00215E06">
      <w:pPr>
        <w:spacing w:before="240" w:after="0" w:line="240" w:lineRule="auto"/>
        <w:rPr>
          <w:rStyle w:val="Strong"/>
          <w:rFonts w:ascii="Arial" w:hAnsi="Arial" w:cs="Arial"/>
          <w:b w:val="0"/>
          <w:bCs w:val="0"/>
          <w:color w:val="757575"/>
          <w:sz w:val="20"/>
          <w:szCs w:val="20"/>
          <w:shd w:val="clear" w:color="auto" w:fill="FFFFFF"/>
        </w:rPr>
      </w:pPr>
      <w:r w:rsidRPr="005313F5">
        <w:rPr>
          <w:rFonts w:ascii="Arial" w:hAnsi="Arial" w:cs="Arial"/>
          <w:color w:val="757575"/>
          <w:sz w:val="20"/>
          <w:szCs w:val="20"/>
          <w:shd w:val="clear" w:color="auto" w:fill="FFFFFF"/>
        </w:rPr>
        <w:t xml:space="preserve">This pricing report </w:t>
      </w:r>
      <w:r w:rsidR="00774B0C">
        <w:rPr>
          <w:rFonts w:ascii="Arial" w:hAnsi="Arial" w:cs="Arial"/>
          <w:color w:val="757575"/>
          <w:sz w:val="20"/>
          <w:szCs w:val="20"/>
          <w:shd w:val="clear" w:color="auto" w:fill="FFFFFF"/>
        </w:rPr>
        <w:t>will focus</w:t>
      </w:r>
      <w:r w:rsidRPr="005313F5">
        <w:rPr>
          <w:rFonts w:ascii="Arial" w:hAnsi="Arial" w:cs="Arial"/>
          <w:color w:val="757575"/>
          <w:sz w:val="20"/>
          <w:szCs w:val="20"/>
          <w:shd w:val="clear" w:color="auto" w:fill="FFFFFF"/>
        </w:rPr>
        <w:t xml:space="preserve"> on the energy element of a bill to help you keep track and understand the wholesale energy market and the factors affecting the price of your contracts.</w:t>
      </w:r>
    </w:p>
    <w:p w14:paraId="2F91AB9F" w14:textId="7EFF73CA" w:rsidR="00AF614F" w:rsidRDefault="00AF614F" w:rsidP="00FF1A79">
      <w:pPr>
        <w:spacing w:after="0" w:line="240" w:lineRule="auto"/>
        <w:rPr>
          <w:rStyle w:val="Strong"/>
          <w:rFonts w:ascii="Georgia" w:hAnsi="Georgia"/>
          <w:color w:val="ED273E"/>
          <w:sz w:val="27"/>
          <w:szCs w:val="27"/>
          <w:shd w:val="clear" w:color="auto" w:fill="FFFFFF"/>
        </w:rPr>
      </w:pPr>
    </w:p>
    <w:p w14:paraId="122765A6" w14:textId="188C80EE"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769EF141" w14:textId="030789D4" w:rsidR="00EF5047" w:rsidRPr="00EF5047" w:rsidRDefault="00EF5047" w:rsidP="00EF5047">
      <w:pPr>
        <w:spacing w:after="0" w:line="240" w:lineRule="auto"/>
        <w:rPr>
          <w:rStyle w:val="Strong"/>
          <w:rFonts w:ascii="Arial" w:hAnsi="Arial" w:cs="Arial"/>
          <w:b w:val="0"/>
          <w:bCs w:val="0"/>
          <w:color w:val="757575"/>
          <w:sz w:val="20"/>
          <w:szCs w:val="20"/>
          <w:shd w:val="clear" w:color="auto" w:fill="FFFFFF"/>
        </w:rPr>
      </w:pPr>
      <w:r w:rsidRPr="00EF5047">
        <w:rPr>
          <w:rStyle w:val="Strong"/>
          <w:rFonts w:ascii="Arial" w:hAnsi="Arial" w:cs="Arial"/>
          <w:b w:val="0"/>
          <w:bCs w:val="0"/>
          <w:color w:val="757575"/>
          <w:sz w:val="20"/>
          <w:szCs w:val="20"/>
          <w:shd w:val="clear" w:color="auto" w:fill="FFFFFF"/>
        </w:rPr>
        <w:t>UK gas prices closed at some of their highest levels since 2008 last week, with prices 131% higher than this time last year. We usually see a period of storage injections, but with the colder temperatures this year increasing the demand for gas there is little left in reserve and adding risk.</w:t>
      </w:r>
    </w:p>
    <w:p w14:paraId="4A9A39CE" w14:textId="7C201418" w:rsidR="00EF5047" w:rsidRPr="00EF5047" w:rsidRDefault="00EF5047" w:rsidP="00EF5047">
      <w:pPr>
        <w:spacing w:after="0" w:line="240" w:lineRule="auto"/>
        <w:rPr>
          <w:rStyle w:val="Strong"/>
          <w:rFonts w:ascii="Arial" w:hAnsi="Arial" w:cs="Arial"/>
          <w:b w:val="0"/>
          <w:bCs w:val="0"/>
          <w:color w:val="757575"/>
          <w:sz w:val="20"/>
          <w:szCs w:val="20"/>
          <w:shd w:val="clear" w:color="auto" w:fill="FFFFFF"/>
        </w:rPr>
      </w:pPr>
    </w:p>
    <w:p w14:paraId="19A882F5" w14:textId="1303B695" w:rsidR="00EF5047" w:rsidRPr="00EF5047" w:rsidRDefault="00EF5047" w:rsidP="00EF5047">
      <w:pPr>
        <w:spacing w:after="0" w:line="240" w:lineRule="auto"/>
        <w:rPr>
          <w:rStyle w:val="Strong"/>
          <w:rFonts w:ascii="Arial" w:hAnsi="Arial" w:cs="Arial"/>
          <w:b w:val="0"/>
          <w:bCs w:val="0"/>
          <w:color w:val="757575"/>
          <w:sz w:val="20"/>
          <w:szCs w:val="20"/>
          <w:shd w:val="clear" w:color="auto" w:fill="FFFFFF"/>
        </w:rPr>
      </w:pPr>
      <w:r w:rsidRPr="00EF5047">
        <w:rPr>
          <w:rStyle w:val="Strong"/>
          <w:rFonts w:ascii="Arial" w:hAnsi="Arial" w:cs="Arial"/>
          <w:b w:val="0"/>
          <w:bCs w:val="0"/>
          <w:color w:val="757575"/>
          <w:sz w:val="20"/>
          <w:szCs w:val="20"/>
          <w:shd w:val="clear" w:color="auto" w:fill="FFFFFF"/>
        </w:rPr>
        <w:t>Prices have been pushed higher further by the unplanned outages and continued concerns over the UK storage levels. Fewer supplies are expected into Europe, with LNG (Liquified Natural Gas) heading out east where they are willing to pay more. Low renewable output has also helped support the 1% gains of crude prices, all contributing to the increase in contract prices.</w:t>
      </w:r>
    </w:p>
    <w:p w14:paraId="70B4B2CA" w14:textId="013D7CCA" w:rsidR="00EF5047" w:rsidRPr="00EF5047" w:rsidRDefault="00EF5047" w:rsidP="00EF5047">
      <w:pPr>
        <w:spacing w:after="0" w:line="240" w:lineRule="auto"/>
        <w:rPr>
          <w:rStyle w:val="Strong"/>
          <w:rFonts w:ascii="Arial" w:hAnsi="Arial" w:cs="Arial"/>
          <w:b w:val="0"/>
          <w:bCs w:val="0"/>
          <w:color w:val="757575"/>
          <w:sz w:val="20"/>
          <w:szCs w:val="20"/>
          <w:shd w:val="clear" w:color="auto" w:fill="FFFFFF"/>
        </w:rPr>
      </w:pPr>
    </w:p>
    <w:p w14:paraId="5F3BDBA7" w14:textId="75AFE95B" w:rsidR="00EF5047" w:rsidRPr="00EF5047" w:rsidRDefault="00AA755F" w:rsidP="00EF5047">
      <w:pPr>
        <w:spacing w:after="0" w:line="240" w:lineRule="auto"/>
        <w:rPr>
          <w:rStyle w:val="Strong"/>
          <w:rFonts w:ascii="Arial" w:hAnsi="Arial" w:cs="Arial"/>
          <w:b w:val="0"/>
          <w:bCs w:val="0"/>
          <w:color w:val="757575"/>
          <w:sz w:val="20"/>
          <w:szCs w:val="20"/>
          <w:shd w:val="clear" w:color="auto" w:fill="FFFFFF"/>
        </w:rPr>
      </w:pPr>
      <w:r>
        <w:rPr>
          <w:rFonts w:ascii="Arial" w:hAnsi="Arial" w:cs="Arial"/>
          <w:b/>
          <w:bCs/>
          <w:noProof/>
          <w:color w:val="757575"/>
          <w:sz w:val="20"/>
          <w:szCs w:val="20"/>
          <w:shd w:val="clear" w:color="auto" w:fill="FFFFFF"/>
        </w:rPr>
        <w:drawing>
          <wp:anchor distT="0" distB="0" distL="114300" distR="114300" simplePos="0" relativeHeight="251749888" behindDoc="1" locked="0" layoutInCell="1" allowOverlap="1" wp14:anchorId="79E74143" wp14:editId="0D6E5C0F">
            <wp:simplePos x="0" y="0"/>
            <wp:positionH relativeFrom="column">
              <wp:posOffset>2717996</wp:posOffset>
            </wp:positionH>
            <wp:positionV relativeFrom="paragraph">
              <wp:posOffset>249555</wp:posOffset>
            </wp:positionV>
            <wp:extent cx="4043045" cy="2098040"/>
            <wp:effectExtent l="0" t="0" r="0" b="0"/>
            <wp:wrapTight wrapText="bothSides">
              <wp:wrapPolygon edited="0">
                <wp:start x="0" y="0"/>
                <wp:lineTo x="0" y="21378"/>
                <wp:lineTo x="21474" y="21378"/>
                <wp:lineTo x="21474" y="0"/>
                <wp:lineTo x="0" y="0"/>
              </wp:wrapPolygon>
            </wp:wrapTight>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43045" cy="2098040"/>
                    </a:xfrm>
                    <a:prstGeom prst="rect">
                      <a:avLst/>
                    </a:prstGeom>
                  </pic:spPr>
                </pic:pic>
              </a:graphicData>
            </a:graphic>
            <wp14:sizeRelH relativeFrom="margin">
              <wp14:pctWidth>0</wp14:pctWidth>
            </wp14:sizeRelH>
            <wp14:sizeRelV relativeFrom="margin">
              <wp14:pctHeight>0</wp14:pctHeight>
            </wp14:sizeRelV>
          </wp:anchor>
        </w:drawing>
      </w:r>
      <w:r w:rsidR="00EF5047" w:rsidRPr="00EF5047">
        <w:rPr>
          <w:rStyle w:val="Strong"/>
          <w:rFonts w:ascii="Arial" w:hAnsi="Arial" w:cs="Arial"/>
          <w:b w:val="0"/>
          <w:bCs w:val="0"/>
          <w:color w:val="757575"/>
          <w:sz w:val="20"/>
          <w:szCs w:val="20"/>
          <w:shd w:val="clear" w:color="auto" w:fill="FFFFFF"/>
        </w:rPr>
        <w:t>Crude oil prices dropped slightly at the start of last week ahead of the OPEC+ meeting and the risk of the Delta COVID variant threatening to impact world economies. They have since reversed due to the supply concerns and extremely high temperatures in the US and Canada and WTI crude is now currently trading at 2.9% higher than the start of the week.</w:t>
      </w:r>
    </w:p>
    <w:p w14:paraId="166681A4" w14:textId="312C81DF" w:rsidR="00EF5047" w:rsidRPr="00EF5047" w:rsidRDefault="00EF5047" w:rsidP="00EF5047">
      <w:pPr>
        <w:spacing w:after="0" w:line="240" w:lineRule="auto"/>
        <w:rPr>
          <w:rStyle w:val="Strong"/>
          <w:rFonts w:ascii="Arial" w:hAnsi="Arial" w:cs="Arial"/>
          <w:b w:val="0"/>
          <w:bCs w:val="0"/>
          <w:color w:val="757575"/>
          <w:sz w:val="20"/>
          <w:szCs w:val="20"/>
          <w:shd w:val="clear" w:color="auto" w:fill="FFFFFF"/>
        </w:rPr>
      </w:pPr>
    </w:p>
    <w:p w14:paraId="143B36E8" w14:textId="17513A6A" w:rsidR="00300328" w:rsidRDefault="00EF5047" w:rsidP="00EF5047">
      <w:pPr>
        <w:spacing w:after="0" w:line="240" w:lineRule="auto"/>
        <w:rPr>
          <w:rStyle w:val="Strong"/>
          <w:rFonts w:ascii="Arial" w:hAnsi="Arial" w:cs="Arial"/>
          <w:b w:val="0"/>
          <w:bCs w:val="0"/>
          <w:color w:val="757575"/>
          <w:sz w:val="20"/>
          <w:szCs w:val="20"/>
          <w:shd w:val="clear" w:color="auto" w:fill="FFFFFF"/>
        </w:rPr>
      </w:pPr>
      <w:r w:rsidRPr="00EF5047">
        <w:rPr>
          <w:rStyle w:val="Strong"/>
          <w:rFonts w:ascii="Arial" w:hAnsi="Arial" w:cs="Arial"/>
          <w:b w:val="0"/>
          <w:bCs w:val="0"/>
          <w:color w:val="757575"/>
          <w:sz w:val="20"/>
          <w:szCs w:val="20"/>
          <w:shd w:val="clear" w:color="auto" w:fill="FFFFFF"/>
        </w:rPr>
        <w:t xml:space="preserve">To avoid these prices, you can look at securing a rate today for your future contracts. We have already seen </w:t>
      </w:r>
      <w:proofErr w:type="gramStart"/>
      <w:r w:rsidRPr="00EF5047">
        <w:rPr>
          <w:rStyle w:val="Strong"/>
          <w:rFonts w:ascii="Arial" w:hAnsi="Arial" w:cs="Arial"/>
          <w:b w:val="0"/>
          <w:bCs w:val="0"/>
          <w:color w:val="757575"/>
          <w:sz w:val="20"/>
          <w:szCs w:val="20"/>
          <w:shd w:val="clear" w:color="auto" w:fill="FFFFFF"/>
        </w:rPr>
        <w:t>12 and 24 month</w:t>
      </w:r>
      <w:proofErr w:type="gramEnd"/>
      <w:r w:rsidRPr="00EF5047">
        <w:rPr>
          <w:rStyle w:val="Strong"/>
          <w:rFonts w:ascii="Arial" w:hAnsi="Arial" w:cs="Arial"/>
          <w:b w:val="0"/>
          <w:bCs w:val="0"/>
          <w:color w:val="757575"/>
          <w:sz w:val="20"/>
          <w:szCs w:val="20"/>
          <w:shd w:val="clear" w:color="auto" w:fill="FFFFFF"/>
        </w:rPr>
        <w:t xml:space="preserve"> contract prices shoot up and with the supply outlook looking more concerning and the UK expected to be "back to normal" by the 19th of July, the demand surge will outweigh the supply and push contract prices even higher.</w:t>
      </w:r>
    </w:p>
    <w:p w14:paraId="6B94CA48" w14:textId="22D1AC1D" w:rsidR="00EF5047" w:rsidRDefault="00EF5047" w:rsidP="00EF5047">
      <w:pPr>
        <w:spacing w:after="0" w:line="240" w:lineRule="auto"/>
        <w:rPr>
          <w:rStyle w:val="Strong"/>
          <w:rFonts w:ascii="Arial" w:hAnsi="Arial" w:cs="Arial"/>
          <w:color w:val="757575"/>
          <w:sz w:val="20"/>
          <w:szCs w:val="20"/>
          <w:shd w:val="clear" w:color="auto" w:fill="FFFFFF"/>
        </w:rPr>
      </w:pPr>
    </w:p>
    <w:p w14:paraId="6722CAFB" w14:textId="0EEAE23B" w:rsidR="0019346D" w:rsidRPr="00300328" w:rsidRDefault="0040111A" w:rsidP="00300328">
      <w:pPr>
        <w:spacing w:after="0" w:line="240" w:lineRule="auto"/>
        <w:rPr>
          <w:rFonts w:ascii="Arial" w:hAnsi="Arial" w:cs="Arial"/>
          <w:b/>
          <w:bCs/>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002463E7">
        <w:rPr>
          <w:rStyle w:val="Strong"/>
          <w:rFonts w:ascii="Arial" w:hAnsi="Arial" w:cs="Arial"/>
          <w:i/>
          <w:iCs/>
          <w:color w:val="757575"/>
          <w:sz w:val="20"/>
          <w:szCs w:val="20"/>
          <w:shd w:val="clear" w:color="auto" w:fill="FFFFFF"/>
        </w:rPr>
        <w:t xml:space="preserve"> on markets</w:t>
      </w:r>
      <w:r w:rsidRPr="0040111A">
        <w:rPr>
          <w:rStyle w:val="Strong"/>
          <w:rFonts w:ascii="Arial" w:hAnsi="Arial" w:cs="Arial"/>
          <w:color w:val="757575"/>
          <w:sz w:val="20"/>
          <w:szCs w:val="20"/>
          <w:shd w:val="clear" w:color="auto" w:fill="FFFFFF"/>
        </w:rPr>
        <w:t>):</w:t>
      </w:r>
    </w:p>
    <w:p w14:paraId="7178CD4D" w14:textId="77777777" w:rsidR="00161C92" w:rsidRPr="00161C92" w:rsidRDefault="00161C92" w:rsidP="00161C92">
      <w:pPr>
        <w:pStyle w:val="ListParagraph"/>
        <w:numPr>
          <w:ilvl w:val="0"/>
          <w:numId w:val="41"/>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 xml:space="preserve">Expectations of extremely tight gas and electricity supplies across Europe - planned maintenance, unplanned </w:t>
      </w:r>
      <w:proofErr w:type="gramStart"/>
      <w:r w:rsidRPr="00161C92">
        <w:rPr>
          <w:rFonts w:ascii="Arial" w:hAnsi="Arial" w:cs="Arial"/>
          <w:color w:val="757575"/>
          <w:sz w:val="20"/>
          <w:szCs w:val="20"/>
          <w:shd w:val="clear" w:color="auto" w:fill="FFFFFF"/>
        </w:rPr>
        <w:t>outages</w:t>
      </w:r>
      <w:proofErr w:type="gramEnd"/>
      <w:r w:rsidRPr="00161C92">
        <w:rPr>
          <w:rFonts w:ascii="Arial" w:hAnsi="Arial" w:cs="Arial"/>
          <w:color w:val="757575"/>
          <w:sz w:val="20"/>
          <w:szCs w:val="20"/>
          <w:shd w:val="clear" w:color="auto" w:fill="FFFFFF"/>
        </w:rPr>
        <w:t xml:space="preserve"> and no LNG (Liquified Natural Gas) coming into Europe.</w:t>
      </w:r>
    </w:p>
    <w:p w14:paraId="42690892" w14:textId="77777777" w:rsidR="00161C92" w:rsidRPr="00161C92" w:rsidRDefault="00161C92" w:rsidP="00161C92">
      <w:pPr>
        <w:pStyle w:val="ListParagraph"/>
        <w:numPr>
          <w:ilvl w:val="0"/>
          <w:numId w:val="41"/>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Continued concerns around UK storage levels.</w:t>
      </w:r>
    </w:p>
    <w:p w14:paraId="527A9DC8" w14:textId="77777777" w:rsidR="00161C92" w:rsidRPr="00161C92" w:rsidRDefault="00161C92" w:rsidP="00161C92">
      <w:pPr>
        <w:pStyle w:val="ListParagraph"/>
        <w:numPr>
          <w:ilvl w:val="0"/>
          <w:numId w:val="41"/>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Global energy demand is expected to increase.</w:t>
      </w:r>
    </w:p>
    <w:p w14:paraId="4503EC34" w14:textId="77777777" w:rsidR="00161C92" w:rsidRPr="00161C92" w:rsidRDefault="00161C92" w:rsidP="00161C92">
      <w:pPr>
        <w:pStyle w:val="ListParagraph"/>
        <w:numPr>
          <w:ilvl w:val="0"/>
          <w:numId w:val="41"/>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Low renewable generation, putting more demand on energy produced from fossil fuels.</w:t>
      </w:r>
    </w:p>
    <w:p w14:paraId="565337CF" w14:textId="4A34D69B" w:rsidR="00300328" w:rsidRPr="00840BE1" w:rsidRDefault="00300328" w:rsidP="00300328">
      <w:pPr>
        <w:pStyle w:val="ListParagraph"/>
        <w:spacing w:after="0" w:line="240" w:lineRule="auto"/>
        <w:ind w:left="1440"/>
        <w:rPr>
          <w:rStyle w:val="Strong"/>
          <w:rFonts w:ascii="Arial" w:hAnsi="Arial" w:cs="Arial"/>
          <w:color w:val="757575"/>
          <w:sz w:val="20"/>
          <w:szCs w:val="20"/>
          <w:shd w:val="clear" w:color="auto" w:fill="FFFFFF"/>
        </w:rPr>
      </w:pPr>
    </w:p>
    <w:p w14:paraId="51549132" w14:textId="5858CE2F"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w:t>
      </w:r>
      <w:r w:rsidRPr="00B516EA">
        <w:rPr>
          <w:rStyle w:val="Strong"/>
          <w:rFonts w:ascii="Arial" w:hAnsi="Arial" w:cs="Arial"/>
          <w:i/>
          <w:iCs/>
          <w:color w:val="757575"/>
          <w:sz w:val="20"/>
          <w:szCs w:val="20"/>
          <w:shd w:val="clear" w:color="auto" w:fill="FFFFFF"/>
        </w:rPr>
        <w:t xml:space="preserve"> pressure</w:t>
      </w:r>
      <w:r w:rsidR="00A55F41">
        <w:rPr>
          <w:rStyle w:val="Strong"/>
          <w:rFonts w:ascii="Arial" w:hAnsi="Arial" w:cs="Arial"/>
          <w:i/>
          <w:iCs/>
          <w:color w:val="757575"/>
          <w:sz w:val="20"/>
          <w:szCs w:val="20"/>
          <w:shd w:val="clear" w:color="auto" w:fill="FFFFFF"/>
        </w:rPr>
        <w:t xml:space="preserve"> on markets</w:t>
      </w:r>
      <w:r w:rsidRPr="00B516EA">
        <w:rPr>
          <w:rStyle w:val="Strong"/>
          <w:rFonts w:ascii="Arial" w:hAnsi="Arial" w:cs="Arial"/>
          <w:i/>
          <w:iCs/>
          <w:color w:val="757575"/>
          <w:sz w:val="20"/>
          <w:szCs w:val="20"/>
          <w:shd w:val="clear" w:color="auto" w:fill="FFFFFF"/>
        </w:rPr>
        <w:t>):</w:t>
      </w:r>
    </w:p>
    <w:p w14:paraId="347286AE" w14:textId="77B93A75" w:rsidR="00161C92" w:rsidRPr="00161C92" w:rsidRDefault="00161C92" w:rsidP="00161C92">
      <w:pPr>
        <w:numPr>
          <w:ilvl w:val="0"/>
          <w:numId w:val="42"/>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 xml:space="preserve">Investors </w:t>
      </w:r>
      <w:r w:rsidR="00F505A4" w:rsidRPr="00F505A4">
        <w:rPr>
          <w:rFonts w:ascii="Arial" w:hAnsi="Arial" w:cs="Arial"/>
          <w:color w:val="757575"/>
          <w:sz w:val="20"/>
          <w:szCs w:val="20"/>
          <w:shd w:val="clear" w:color="auto" w:fill="FFFFFF"/>
        </w:rPr>
        <w:t>eyed a potential increase in production quotas as OPEC members decide on a proposal.</w:t>
      </w:r>
    </w:p>
    <w:p w14:paraId="28A5804D" w14:textId="28DBC6ED" w:rsidR="00161C92" w:rsidRPr="00161C92" w:rsidRDefault="00161C92" w:rsidP="00161C92">
      <w:pPr>
        <w:numPr>
          <w:ilvl w:val="0"/>
          <w:numId w:val="42"/>
        </w:numPr>
        <w:spacing w:after="0"/>
        <w:rPr>
          <w:rFonts w:ascii="Arial" w:hAnsi="Arial" w:cs="Arial"/>
          <w:color w:val="757575"/>
          <w:sz w:val="20"/>
          <w:szCs w:val="20"/>
          <w:shd w:val="clear" w:color="auto" w:fill="FFFFFF"/>
        </w:rPr>
      </w:pPr>
      <w:r w:rsidRPr="00161C92">
        <w:rPr>
          <w:rFonts w:ascii="Arial" w:hAnsi="Arial" w:cs="Arial"/>
          <w:color w:val="757575"/>
          <w:sz w:val="20"/>
          <w:szCs w:val="20"/>
          <w:shd w:val="clear" w:color="auto" w:fill="FFFFFF"/>
        </w:rPr>
        <w:t> A reported increase of the new Delta variant of coronavirus which has sparked fears of a global slowdown of lockdown measures.</w:t>
      </w:r>
    </w:p>
    <w:p w14:paraId="0A6A1812" w14:textId="16CEDFC9" w:rsidR="00300328" w:rsidRDefault="00300328" w:rsidP="00300328">
      <w:pPr>
        <w:spacing w:after="0"/>
        <w:rPr>
          <w:rStyle w:val="Strong"/>
          <w:rFonts w:ascii="Georgia" w:hAnsi="Georgia"/>
          <w:color w:val="ED273E"/>
          <w:sz w:val="27"/>
          <w:szCs w:val="27"/>
          <w:shd w:val="clear" w:color="auto" w:fill="FFFFFF"/>
        </w:rPr>
      </w:pPr>
    </w:p>
    <w:p w14:paraId="57B7E644" w14:textId="2C79838F" w:rsidR="00C71C67" w:rsidRDefault="00686B19" w:rsidP="008215B7">
      <w:pPr>
        <w:spacing w:after="0"/>
        <w:rPr>
          <w:rStyle w:val="Strong"/>
          <w:rFonts w:ascii="Georgia" w:hAnsi="Georgia"/>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75136" behindDoc="0" locked="0" layoutInCell="1" allowOverlap="1" wp14:anchorId="0CF02B36" wp14:editId="67C9E263">
                <wp:simplePos x="0" y="0"/>
                <wp:positionH relativeFrom="margin">
                  <wp:align>center</wp:align>
                </wp:positionH>
                <wp:positionV relativeFrom="paragraph">
                  <wp:posOffset>19050</wp:posOffset>
                </wp:positionV>
                <wp:extent cx="6299835" cy="899795"/>
                <wp:effectExtent l="19050" t="19050" r="43815" b="3365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solidFill>
                            <a:srgbClr val="002060"/>
                          </a:solid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0;margin-top:1.5pt;width:496.05pt;height:70.85pt;z-index:251675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" fillcolor="#002060" strokecolor="#002060"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p>
    <w:p w14:paraId="1E5388E3" w14:textId="02518E49" w:rsidR="003F6BBA" w:rsidRPr="006E0762" w:rsidRDefault="003F6BBA" w:rsidP="008215B7">
      <w:pPr>
        <w:spacing w:after="0"/>
        <w:rPr>
          <w:rFonts w:ascii="Georgia" w:hAnsi="Georgia"/>
          <w:b/>
          <w:bCs/>
          <w:color w:val="ED273E"/>
          <w:sz w:val="27"/>
          <w:szCs w:val="27"/>
          <w:shd w:val="clear" w:color="auto" w:fill="FFFFFF"/>
        </w:rPr>
      </w:pPr>
      <w:r>
        <w:rPr>
          <w:rStyle w:val="Strong"/>
          <w:rFonts w:ascii="Georgia" w:hAnsi="Georgia"/>
          <w:color w:val="ED273E"/>
          <w:sz w:val="27"/>
          <w:szCs w:val="27"/>
          <w:shd w:val="clear" w:color="auto" w:fill="FFFFFF"/>
        </w:rPr>
        <w:t>Gas</w:t>
      </w:r>
      <w:r w:rsidR="008215B7">
        <w:rPr>
          <w:rStyle w:val="Strong"/>
          <w:rFonts w:ascii="Georgia" w:hAnsi="Georgia"/>
          <w:color w:val="ED273E"/>
          <w:sz w:val="27"/>
          <w:szCs w:val="27"/>
          <w:shd w:val="clear" w:color="auto" w:fill="FFFFFF"/>
        </w:rPr>
        <w:t xml:space="preserve"> and Electricity</w:t>
      </w:r>
    </w:p>
    <w:p w14:paraId="1AB88664" w14:textId="77777777" w:rsidR="00B04B0D" w:rsidRPr="00B04B0D" w:rsidRDefault="00B04B0D" w:rsidP="00B04B0D">
      <w:pPr>
        <w:spacing w:after="0"/>
        <w:rPr>
          <w:rFonts w:ascii="Arial" w:hAnsi="Arial" w:cs="Arial"/>
          <w:color w:val="757575"/>
          <w:sz w:val="20"/>
          <w:szCs w:val="20"/>
          <w:shd w:val="clear" w:color="auto" w:fill="FFFFFF"/>
        </w:rPr>
      </w:pPr>
      <w:r w:rsidRPr="00B04B0D">
        <w:rPr>
          <w:rFonts w:ascii="Arial" w:hAnsi="Arial" w:cs="Arial"/>
          <w:color w:val="757575"/>
          <w:sz w:val="20"/>
          <w:szCs w:val="20"/>
          <w:shd w:val="clear" w:color="auto" w:fill="FFFFFF"/>
        </w:rPr>
        <w:t>Both gas and electricity contract prices have increased even further, following the expectations of low supplies across Europe, as planned maintenance and unplanned outages reduce supplies, with further upside dealt from the strengthening coal and carbon markets.</w:t>
      </w:r>
    </w:p>
    <w:p w14:paraId="34085EA1" w14:textId="77777777" w:rsidR="00B04B0D" w:rsidRPr="00B04B0D" w:rsidRDefault="00B04B0D" w:rsidP="00B04B0D">
      <w:pPr>
        <w:spacing w:after="0"/>
        <w:rPr>
          <w:rFonts w:ascii="Arial" w:hAnsi="Arial" w:cs="Arial"/>
          <w:color w:val="757575"/>
          <w:sz w:val="20"/>
          <w:szCs w:val="20"/>
          <w:shd w:val="clear" w:color="auto" w:fill="FFFFFF"/>
        </w:rPr>
      </w:pPr>
    </w:p>
    <w:p w14:paraId="293D27C5" w14:textId="1D5FD66A" w:rsidR="00A6463F" w:rsidRDefault="00B04B0D" w:rsidP="00B04B0D">
      <w:pPr>
        <w:spacing w:after="0"/>
        <w:rPr>
          <w:rFonts w:ascii="Arial" w:hAnsi="Arial" w:cs="Arial"/>
          <w:color w:val="757575"/>
          <w:sz w:val="20"/>
          <w:szCs w:val="20"/>
          <w:shd w:val="clear" w:color="auto" w:fill="FFFFFF"/>
        </w:rPr>
      </w:pPr>
      <w:r w:rsidRPr="00B04B0D">
        <w:rPr>
          <w:rFonts w:ascii="Arial" w:hAnsi="Arial" w:cs="Arial"/>
          <w:color w:val="757575"/>
          <w:sz w:val="20"/>
          <w:szCs w:val="20"/>
          <w:shd w:val="clear" w:color="auto" w:fill="FFFFFF"/>
        </w:rPr>
        <w:t>Gas contracts have gained further value as the Asian premium continues to attract LNG shipments away from Europe and the UK.</w:t>
      </w:r>
    </w:p>
    <w:p w14:paraId="00B172DC" w14:textId="77777777" w:rsidR="00B04B0D" w:rsidRPr="00A6463F" w:rsidRDefault="00B04B0D" w:rsidP="00B04B0D">
      <w:pPr>
        <w:spacing w:after="0"/>
        <w:rPr>
          <w:rFonts w:ascii="Arial" w:hAnsi="Arial" w:cs="Arial"/>
          <w:color w:val="757575"/>
          <w:sz w:val="20"/>
          <w:szCs w:val="20"/>
          <w:shd w:val="clear" w:color="auto" w:fill="FFFFFF"/>
        </w:rPr>
      </w:pPr>
    </w:p>
    <w:p w14:paraId="305280B6" w14:textId="15B6D298" w:rsidR="00CA5831" w:rsidRDefault="00A6463F" w:rsidP="00A6463F">
      <w:pPr>
        <w:spacing w:after="0" w:line="276" w:lineRule="auto"/>
        <w:rPr>
          <w:rFonts w:ascii="Arial" w:hAnsi="Arial" w:cs="Arial"/>
          <w:noProof/>
          <w:color w:val="757575"/>
          <w:sz w:val="20"/>
          <w:szCs w:val="20"/>
        </w:rPr>
      </w:pPr>
      <w:r w:rsidRPr="00A6463F">
        <w:rPr>
          <w:rFonts w:ascii="Arial" w:hAnsi="Arial" w:cs="Arial"/>
          <w:color w:val="757575"/>
          <w:sz w:val="20"/>
          <w:szCs w:val="20"/>
          <w:shd w:val="clear" w:color="auto" w:fill="FFFFFF"/>
        </w:rPr>
        <w:t>The UK electric price monthly average is also the highest it has been in the last 5 years, as shown in the graph below, with wholesale oil prices still trading high and the expectations of a demand recovery remaining positive.</w:t>
      </w:r>
    </w:p>
    <w:p w14:paraId="7B0C8C8F" w14:textId="11E44912" w:rsidR="00D3089A" w:rsidRDefault="00D3089A" w:rsidP="00D3089A">
      <w:pPr>
        <w:spacing w:after="0" w:line="276" w:lineRule="auto"/>
        <w:rPr>
          <w:rFonts w:ascii="Arial" w:hAnsi="Arial" w:cs="Arial"/>
          <w:color w:val="757575"/>
          <w:sz w:val="20"/>
          <w:szCs w:val="20"/>
          <w:shd w:val="clear" w:color="auto" w:fill="FFFFFF"/>
        </w:rPr>
      </w:pPr>
    </w:p>
    <w:p w14:paraId="6886C26D" w14:textId="46225FFC" w:rsidR="00D3089A" w:rsidRDefault="00A6463F" w:rsidP="00D3089A">
      <w:pPr>
        <w:spacing w:after="0" w:line="276" w:lineRule="auto"/>
        <w:rPr>
          <w:rFonts w:ascii="Arial" w:hAnsi="Arial" w:cs="Arial"/>
          <w:color w:val="757575"/>
          <w:sz w:val="20"/>
          <w:szCs w:val="20"/>
          <w:shd w:val="clear" w:color="auto" w:fill="FFFFFF"/>
        </w:rPr>
      </w:pPr>
      <w:r>
        <w:rPr>
          <w:rFonts w:ascii="Arial" w:hAnsi="Arial" w:cs="Arial"/>
          <w:noProof/>
          <w:color w:val="757575"/>
          <w:sz w:val="20"/>
          <w:szCs w:val="20"/>
          <w:shd w:val="clear" w:color="auto" w:fill="FFFFFF"/>
        </w:rPr>
        <w:drawing>
          <wp:anchor distT="0" distB="0" distL="114300" distR="114300" simplePos="0" relativeHeight="251747840" behindDoc="0" locked="0" layoutInCell="1" allowOverlap="1" wp14:anchorId="71580279" wp14:editId="14FE3907">
            <wp:simplePos x="0" y="0"/>
            <wp:positionH relativeFrom="column">
              <wp:posOffset>3118852</wp:posOffset>
            </wp:positionH>
            <wp:positionV relativeFrom="paragraph">
              <wp:posOffset>143510</wp:posOffset>
            </wp:positionV>
            <wp:extent cx="3639185" cy="1715770"/>
            <wp:effectExtent l="0" t="0" r="0" b="0"/>
            <wp:wrapNone/>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rotWithShape="1">
                    <a:blip r:embed="rId12">
                      <a:extLst>
                        <a:ext uri="{28A0092B-C50C-407E-A947-70E740481C1C}">
                          <a14:useLocalDpi xmlns:a14="http://schemas.microsoft.com/office/drawing/2010/main" val="0"/>
                        </a:ext>
                      </a:extLst>
                    </a:blip>
                    <a:srcRect l="4555" t="6933" r="3090" b="4005"/>
                    <a:stretch/>
                  </pic:blipFill>
                  <pic:spPr bwMode="auto">
                    <a:xfrm>
                      <a:off x="0" y="0"/>
                      <a:ext cx="3639185" cy="171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757575"/>
          <w:sz w:val="20"/>
          <w:szCs w:val="20"/>
          <w:shd w:val="clear" w:color="auto" w:fill="FFFFFF"/>
        </w:rPr>
        <w:drawing>
          <wp:anchor distT="0" distB="0" distL="114300" distR="114300" simplePos="0" relativeHeight="251746816" behindDoc="1" locked="0" layoutInCell="1" allowOverlap="1" wp14:anchorId="7FABE1BE" wp14:editId="2FC91885">
            <wp:simplePos x="0" y="0"/>
            <wp:positionH relativeFrom="column">
              <wp:posOffset>-525986</wp:posOffset>
            </wp:positionH>
            <wp:positionV relativeFrom="paragraph">
              <wp:posOffset>86897</wp:posOffset>
            </wp:positionV>
            <wp:extent cx="3723005" cy="1819910"/>
            <wp:effectExtent l="0" t="0" r="0" b="8890"/>
            <wp:wrapTight wrapText="bothSides">
              <wp:wrapPolygon edited="0">
                <wp:start x="0" y="0"/>
                <wp:lineTo x="0" y="21479"/>
                <wp:lineTo x="21442" y="21479"/>
                <wp:lineTo x="21442" y="0"/>
                <wp:lineTo x="0" y="0"/>
              </wp:wrapPolygon>
            </wp:wrapTight>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rotWithShape="1">
                    <a:blip r:embed="rId13">
                      <a:extLst>
                        <a:ext uri="{28A0092B-C50C-407E-A947-70E740481C1C}">
                          <a14:useLocalDpi xmlns:a14="http://schemas.microsoft.com/office/drawing/2010/main" val="0"/>
                        </a:ext>
                      </a:extLst>
                    </a:blip>
                    <a:srcRect l="731" t="3197" r="6145" b="2238"/>
                    <a:stretch/>
                  </pic:blipFill>
                  <pic:spPr bwMode="auto">
                    <a:xfrm>
                      <a:off x="0" y="0"/>
                      <a:ext cx="3723005" cy="181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F605A0" w14:textId="77BAF965" w:rsidR="00D3089A" w:rsidRDefault="00D3089A" w:rsidP="00D3089A">
      <w:pPr>
        <w:spacing w:after="0" w:line="276" w:lineRule="auto"/>
        <w:rPr>
          <w:rFonts w:ascii="Arial" w:hAnsi="Arial" w:cs="Arial"/>
          <w:color w:val="757575"/>
          <w:sz w:val="20"/>
          <w:szCs w:val="20"/>
          <w:shd w:val="clear" w:color="auto" w:fill="FFFFFF"/>
        </w:rPr>
      </w:pPr>
    </w:p>
    <w:p w14:paraId="62836323" w14:textId="42106CF4" w:rsidR="00D3089A" w:rsidRDefault="00D3089A" w:rsidP="00D3089A">
      <w:pPr>
        <w:spacing w:after="0" w:line="276" w:lineRule="auto"/>
        <w:rPr>
          <w:rFonts w:ascii="Arial" w:hAnsi="Arial" w:cs="Arial"/>
          <w:color w:val="757575"/>
          <w:sz w:val="20"/>
          <w:szCs w:val="20"/>
          <w:shd w:val="clear" w:color="auto" w:fill="FFFFFF"/>
        </w:rPr>
      </w:pPr>
    </w:p>
    <w:p w14:paraId="589E1413" w14:textId="270B5BC3" w:rsidR="00D3089A" w:rsidRDefault="00D3089A" w:rsidP="00D3089A">
      <w:pPr>
        <w:spacing w:after="0" w:line="276" w:lineRule="auto"/>
        <w:rPr>
          <w:rFonts w:ascii="Arial" w:hAnsi="Arial" w:cs="Arial"/>
          <w:color w:val="757575"/>
          <w:sz w:val="20"/>
          <w:szCs w:val="20"/>
          <w:shd w:val="clear" w:color="auto" w:fill="FFFFFF"/>
        </w:rPr>
      </w:pPr>
    </w:p>
    <w:p w14:paraId="78980F4A" w14:textId="31ECC147" w:rsidR="00D3089A" w:rsidRDefault="00D3089A" w:rsidP="00D3089A">
      <w:pPr>
        <w:spacing w:after="0" w:line="276" w:lineRule="auto"/>
        <w:rPr>
          <w:rStyle w:val="Strong"/>
          <w:rFonts w:ascii="Georgia" w:hAnsi="Georgia"/>
          <w:color w:val="ED273E"/>
          <w:sz w:val="27"/>
          <w:szCs w:val="27"/>
          <w:shd w:val="clear" w:color="auto" w:fill="FFFFFF"/>
        </w:rPr>
      </w:pPr>
    </w:p>
    <w:p w14:paraId="202EBCC4" w14:textId="664B4599" w:rsidR="003F6BBA" w:rsidRDefault="003F6BBA" w:rsidP="00AF614F">
      <w:pPr>
        <w:spacing w:after="0" w:line="276" w:lineRule="auto"/>
        <w:rPr>
          <w:rStyle w:val="Strong"/>
          <w:rFonts w:ascii="Georgia" w:hAnsi="Georgia"/>
          <w:color w:val="ED273E"/>
          <w:sz w:val="27"/>
          <w:szCs w:val="27"/>
          <w:shd w:val="clear" w:color="auto" w:fill="FFFFFF"/>
        </w:rPr>
      </w:pPr>
    </w:p>
    <w:p w14:paraId="2C93E807" w14:textId="2DD54262" w:rsidR="003F6BBA" w:rsidRDefault="003F6BBA" w:rsidP="00AF614F">
      <w:pPr>
        <w:spacing w:after="0" w:line="276" w:lineRule="auto"/>
        <w:rPr>
          <w:rStyle w:val="Strong"/>
          <w:rFonts w:ascii="Georgia" w:hAnsi="Georgia"/>
          <w:color w:val="ED273E"/>
          <w:sz w:val="27"/>
          <w:szCs w:val="27"/>
          <w:shd w:val="clear" w:color="auto" w:fill="FFFFFF"/>
        </w:rPr>
      </w:pPr>
    </w:p>
    <w:p w14:paraId="04FE99A0" w14:textId="083156DB" w:rsidR="003F6BBA" w:rsidRDefault="003F6BBA" w:rsidP="00AF614F">
      <w:pPr>
        <w:spacing w:after="0" w:line="276" w:lineRule="auto"/>
        <w:rPr>
          <w:rFonts w:ascii="Georgia" w:hAnsi="Georgia"/>
          <w:b/>
          <w:bCs/>
          <w:noProof/>
          <w:color w:val="ED273E"/>
          <w:sz w:val="27"/>
          <w:szCs w:val="27"/>
          <w:shd w:val="clear" w:color="auto" w:fill="FFFFFF"/>
        </w:rPr>
      </w:pPr>
    </w:p>
    <w:p w14:paraId="712B54B2" w14:textId="01C0ECBB" w:rsidR="003F6BBA" w:rsidRDefault="003F6BBA" w:rsidP="00AF614F">
      <w:pPr>
        <w:spacing w:after="0" w:line="276" w:lineRule="auto"/>
        <w:rPr>
          <w:rFonts w:ascii="Georgia" w:hAnsi="Georgia"/>
          <w:b/>
          <w:bCs/>
          <w:noProof/>
          <w:color w:val="ED273E"/>
          <w:sz w:val="27"/>
          <w:szCs w:val="27"/>
          <w:shd w:val="clear" w:color="auto" w:fill="FFFFFF"/>
        </w:rPr>
      </w:pPr>
    </w:p>
    <w:p w14:paraId="4512DDC8" w14:textId="58BE505E" w:rsidR="00CA5831" w:rsidRDefault="00CA5831" w:rsidP="00AF614F">
      <w:pPr>
        <w:spacing w:after="0" w:line="276" w:lineRule="auto"/>
        <w:rPr>
          <w:rFonts w:ascii="Arial" w:hAnsi="Arial" w:cs="Arial"/>
          <w:noProof/>
          <w:color w:val="757575"/>
          <w:sz w:val="20"/>
          <w:szCs w:val="20"/>
        </w:rPr>
      </w:pPr>
    </w:p>
    <w:p w14:paraId="0E5CD799" w14:textId="5FFFC05F" w:rsidR="0085597B" w:rsidRDefault="0085597B" w:rsidP="00AF614F">
      <w:pPr>
        <w:spacing w:after="0" w:line="276" w:lineRule="auto"/>
        <w:rPr>
          <w:rFonts w:ascii="Georgia" w:hAnsi="Georgia"/>
          <w:b/>
          <w:bCs/>
          <w:noProof/>
          <w:color w:val="ED273E"/>
          <w:sz w:val="27"/>
          <w:szCs w:val="27"/>
          <w:shd w:val="clear" w:color="auto" w:fill="FFFFFF"/>
        </w:rPr>
      </w:pPr>
    </w:p>
    <w:p w14:paraId="30240C1B" w14:textId="2743CA3D" w:rsidR="00CA5831" w:rsidRDefault="00CA5831" w:rsidP="00CA5831">
      <w:pPr>
        <w:tabs>
          <w:tab w:val="left" w:pos="2177"/>
        </w:tabs>
        <w:spacing w:after="0" w:line="276" w:lineRule="auto"/>
        <w:rPr>
          <w:rFonts w:ascii="Georgia" w:hAnsi="Georgia"/>
          <w:b/>
          <w:bCs/>
          <w:noProof/>
          <w:color w:val="ED273E"/>
          <w:sz w:val="27"/>
          <w:szCs w:val="27"/>
          <w:shd w:val="clear" w:color="auto" w:fill="FFFFFF"/>
        </w:rPr>
      </w:pPr>
      <w:r>
        <w:rPr>
          <w:rFonts w:ascii="Georgia" w:hAnsi="Georgia"/>
          <w:b/>
          <w:bCs/>
          <w:noProof/>
          <w:color w:val="ED273E"/>
          <w:sz w:val="27"/>
          <w:szCs w:val="27"/>
          <w:shd w:val="clear" w:color="auto" w:fill="FFFFFF"/>
        </w:rPr>
        <w:tab/>
      </w:r>
    </w:p>
    <w:p w14:paraId="4F42CA0C" w14:textId="6EB244B9" w:rsidR="00B04B0D" w:rsidRPr="00B04B0D" w:rsidRDefault="00B04B0D" w:rsidP="00B04B0D">
      <w:pPr>
        <w:spacing w:after="0" w:line="276" w:lineRule="auto"/>
        <w:rPr>
          <w:rFonts w:ascii="Arial" w:hAnsi="Arial" w:cs="Arial"/>
          <w:color w:val="757575"/>
          <w:sz w:val="20"/>
          <w:szCs w:val="20"/>
          <w:shd w:val="clear" w:color="auto" w:fill="FFFFFF"/>
        </w:rPr>
      </w:pPr>
      <w:r>
        <w:rPr>
          <w:rFonts w:ascii="Georgia" w:hAnsi="Georgia"/>
          <w:b/>
          <w:bCs/>
          <w:noProof/>
          <w:color w:val="ED273E"/>
          <w:sz w:val="27"/>
          <w:szCs w:val="27"/>
          <w:shd w:val="clear" w:color="auto" w:fill="FFFFFF"/>
        </w:rPr>
        <w:drawing>
          <wp:anchor distT="0" distB="0" distL="114300" distR="114300" simplePos="0" relativeHeight="251750912" behindDoc="0" locked="0" layoutInCell="1" allowOverlap="1" wp14:anchorId="76058E27" wp14:editId="13C726DA">
            <wp:simplePos x="0" y="0"/>
            <wp:positionH relativeFrom="column">
              <wp:posOffset>3264144</wp:posOffset>
            </wp:positionH>
            <wp:positionV relativeFrom="paragraph">
              <wp:posOffset>137160</wp:posOffset>
            </wp:positionV>
            <wp:extent cx="3167380" cy="2626995"/>
            <wp:effectExtent l="0" t="0" r="0" b="1905"/>
            <wp:wrapThrough wrapText="bothSides">
              <wp:wrapPolygon edited="0">
                <wp:start x="0" y="0"/>
                <wp:lineTo x="0" y="21459"/>
                <wp:lineTo x="21435" y="21459"/>
                <wp:lineTo x="21435" y="0"/>
                <wp:lineTo x="0" y="0"/>
              </wp:wrapPolygon>
            </wp:wrapThrough>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167380" cy="2626995"/>
                    </a:xfrm>
                    <a:prstGeom prst="rect">
                      <a:avLst/>
                    </a:prstGeom>
                  </pic:spPr>
                </pic:pic>
              </a:graphicData>
            </a:graphic>
            <wp14:sizeRelH relativeFrom="margin">
              <wp14:pctWidth>0</wp14:pctWidth>
            </wp14:sizeRelH>
            <wp14:sizeRelV relativeFrom="margin">
              <wp14:pctHeight>0</wp14:pctHeight>
            </wp14:sizeRelV>
          </wp:anchor>
        </w:drawing>
      </w:r>
      <w:r w:rsidR="00AE340A">
        <w:rPr>
          <w:rStyle w:val="Strong"/>
          <w:rFonts w:ascii="Georgia" w:hAnsi="Georgia"/>
          <w:color w:val="ED273E"/>
          <w:sz w:val="27"/>
          <w:szCs w:val="27"/>
          <w:shd w:val="clear" w:color="auto" w:fill="FFFFFF"/>
        </w:rPr>
        <w:t>Crude</w:t>
      </w:r>
      <w:r w:rsidR="00AE340A">
        <w:rPr>
          <w:rFonts w:ascii="Helvetica" w:hAnsi="Helvetica" w:cs="Helvetica"/>
          <w:color w:val="757575"/>
          <w:sz w:val="20"/>
          <w:szCs w:val="20"/>
        </w:rPr>
        <w:br/>
      </w:r>
      <w:r w:rsidRPr="00B04B0D">
        <w:rPr>
          <w:rFonts w:ascii="Arial" w:hAnsi="Arial" w:cs="Arial"/>
          <w:color w:val="757575"/>
          <w:sz w:val="20"/>
          <w:szCs w:val="20"/>
          <w:shd w:val="clear" w:color="auto" w:fill="FFFFFF"/>
        </w:rPr>
        <w:t>Brent crude initially lost value at the start of last week as investors paused ahead of the upcoming OPEC meeting with market participants expecting an increase in oil production quotas.</w:t>
      </w:r>
    </w:p>
    <w:p w14:paraId="504E0B0C" w14:textId="77777777" w:rsidR="00B04B0D" w:rsidRPr="00B04B0D" w:rsidRDefault="00B04B0D" w:rsidP="00B04B0D">
      <w:pPr>
        <w:spacing w:after="0" w:line="276" w:lineRule="auto"/>
        <w:rPr>
          <w:rFonts w:ascii="Arial" w:hAnsi="Arial" w:cs="Arial"/>
          <w:color w:val="757575"/>
          <w:sz w:val="20"/>
          <w:szCs w:val="20"/>
          <w:shd w:val="clear" w:color="auto" w:fill="FFFFFF"/>
        </w:rPr>
      </w:pPr>
    </w:p>
    <w:p w14:paraId="6E5D9FF1" w14:textId="7AA75BC2" w:rsidR="00B76180" w:rsidRDefault="00B04B0D" w:rsidP="00B04B0D">
      <w:pPr>
        <w:spacing w:after="0" w:line="276" w:lineRule="auto"/>
        <w:rPr>
          <w:rFonts w:ascii="Arial" w:hAnsi="Arial" w:cs="Arial"/>
          <w:color w:val="757575"/>
          <w:sz w:val="20"/>
          <w:szCs w:val="20"/>
          <w:shd w:val="clear" w:color="auto" w:fill="FFFFFF"/>
        </w:rPr>
      </w:pPr>
      <w:r w:rsidRPr="00B04B0D">
        <w:rPr>
          <w:rFonts w:ascii="Arial" w:hAnsi="Arial" w:cs="Arial"/>
          <w:color w:val="757575"/>
          <w:sz w:val="20"/>
          <w:szCs w:val="20"/>
          <w:shd w:val="clear" w:color="auto" w:fill="FFFFFF"/>
        </w:rPr>
        <w:t>Brent and WTI have firmed throughout the week with confidence that global demand is expected to increase despite the new variant triggering new/extended restrictions.</w:t>
      </w:r>
    </w:p>
    <w:p w14:paraId="0178244E" w14:textId="77777777" w:rsidR="00B04B0D" w:rsidRPr="00B76180" w:rsidRDefault="00B04B0D" w:rsidP="00B04B0D">
      <w:pPr>
        <w:spacing w:after="0" w:line="276" w:lineRule="auto"/>
        <w:rPr>
          <w:rFonts w:ascii="Arial" w:hAnsi="Arial" w:cs="Arial"/>
          <w:color w:val="757575"/>
          <w:sz w:val="20"/>
          <w:szCs w:val="20"/>
          <w:shd w:val="clear" w:color="auto" w:fill="FFFFFF"/>
        </w:rPr>
      </w:pPr>
    </w:p>
    <w:p w14:paraId="18CDD046" w14:textId="77777777" w:rsidR="00B76180" w:rsidRPr="00B76180" w:rsidRDefault="00B76180" w:rsidP="00B76180">
      <w:pPr>
        <w:spacing w:after="0" w:line="276" w:lineRule="auto"/>
        <w:rPr>
          <w:rFonts w:ascii="Arial" w:hAnsi="Arial" w:cs="Arial"/>
          <w:color w:val="757575"/>
          <w:sz w:val="20"/>
          <w:szCs w:val="20"/>
          <w:shd w:val="clear" w:color="auto" w:fill="FFFFFF"/>
        </w:rPr>
      </w:pPr>
      <w:r w:rsidRPr="00B76180">
        <w:rPr>
          <w:rFonts w:ascii="Arial" w:hAnsi="Arial" w:cs="Arial"/>
          <w:color w:val="757575"/>
          <w:sz w:val="20"/>
          <w:szCs w:val="20"/>
          <w:shd w:val="clear" w:color="auto" w:fill="FFFFFF"/>
        </w:rPr>
        <w:t>Brent is currently trading 76% higher than this time last year and WTI has also increased by 84.9%.</w:t>
      </w:r>
    </w:p>
    <w:p w14:paraId="2ABBBA50" w14:textId="77777777" w:rsidR="00B76180" w:rsidRPr="00B76180" w:rsidRDefault="00B76180" w:rsidP="00B76180">
      <w:pPr>
        <w:spacing w:after="0" w:line="276" w:lineRule="auto"/>
        <w:rPr>
          <w:rFonts w:ascii="Arial" w:hAnsi="Arial" w:cs="Arial"/>
          <w:color w:val="757575"/>
          <w:sz w:val="20"/>
          <w:szCs w:val="20"/>
          <w:shd w:val="clear" w:color="auto" w:fill="FFFFFF"/>
        </w:rPr>
      </w:pPr>
    </w:p>
    <w:p w14:paraId="7EE76155" w14:textId="77777777" w:rsidR="00B76180" w:rsidRPr="00B76180" w:rsidRDefault="00B76180" w:rsidP="00B76180">
      <w:pPr>
        <w:spacing w:after="0" w:line="276" w:lineRule="auto"/>
        <w:rPr>
          <w:rFonts w:ascii="Arial" w:hAnsi="Arial" w:cs="Arial"/>
          <w:color w:val="757575"/>
          <w:sz w:val="20"/>
          <w:szCs w:val="20"/>
          <w:shd w:val="clear" w:color="auto" w:fill="FFFFFF"/>
        </w:rPr>
      </w:pPr>
      <w:r w:rsidRPr="00B76180">
        <w:rPr>
          <w:rFonts w:ascii="Arial" w:hAnsi="Arial" w:cs="Arial"/>
          <w:color w:val="757575"/>
          <w:sz w:val="20"/>
          <w:szCs w:val="20"/>
          <w:shd w:val="clear" w:color="auto" w:fill="FFFFFF"/>
        </w:rPr>
        <w:t>Current price standings:</w:t>
      </w:r>
    </w:p>
    <w:p w14:paraId="0D8DE4A8" w14:textId="77777777" w:rsidR="00B76180" w:rsidRPr="00B76180" w:rsidRDefault="00B76180" w:rsidP="00B76180">
      <w:pPr>
        <w:spacing w:after="0" w:line="276" w:lineRule="auto"/>
        <w:rPr>
          <w:rFonts w:ascii="Arial" w:hAnsi="Arial" w:cs="Arial"/>
          <w:color w:val="757575"/>
          <w:sz w:val="20"/>
          <w:szCs w:val="20"/>
          <w:shd w:val="clear" w:color="auto" w:fill="FFFFFF"/>
        </w:rPr>
      </w:pPr>
      <w:r w:rsidRPr="00B76180">
        <w:rPr>
          <w:rFonts w:ascii="Arial" w:hAnsi="Arial" w:cs="Arial"/>
          <w:color w:val="757575"/>
          <w:sz w:val="20"/>
          <w:szCs w:val="20"/>
          <w:shd w:val="clear" w:color="auto" w:fill="FFFFFF"/>
        </w:rPr>
        <w:t>Brent Crude = $76.06/bbl</w:t>
      </w:r>
    </w:p>
    <w:p w14:paraId="65C9FAFC" w14:textId="1789AE5E" w:rsidR="00055D29" w:rsidRDefault="00B76180" w:rsidP="00B76180">
      <w:pPr>
        <w:spacing w:after="0" w:line="276" w:lineRule="auto"/>
        <w:rPr>
          <w:rFonts w:ascii="Arial" w:hAnsi="Arial" w:cs="Arial"/>
          <w:color w:val="757575"/>
          <w:sz w:val="20"/>
          <w:szCs w:val="20"/>
          <w:shd w:val="clear" w:color="auto" w:fill="FFFFFF"/>
        </w:rPr>
      </w:pPr>
      <w:r w:rsidRPr="00B76180">
        <w:rPr>
          <w:rFonts w:ascii="Arial" w:hAnsi="Arial" w:cs="Arial"/>
          <w:color w:val="757575"/>
          <w:sz w:val="20"/>
          <w:szCs w:val="20"/>
          <w:shd w:val="clear" w:color="auto" w:fill="FFFFFF"/>
        </w:rPr>
        <w:t>WTI Crude = $75.17/bbl</w:t>
      </w:r>
    </w:p>
    <w:p w14:paraId="12A2D039" w14:textId="77777777" w:rsidR="00055D29" w:rsidRDefault="00055D29" w:rsidP="00055D29">
      <w:pPr>
        <w:spacing w:after="0" w:line="276" w:lineRule="auto"/>
        <w:rPr>
          <w:rFonts w:ascii="Arial" w:hAnsi="Arial" w:cs="Arial"/>
          <w:color w:val="757575"/>
          <w:sz w:val="20"/>
          <w:szCs w:val="20"/>
          <w:shd w:val="clear" w:color="auto" w:fill="FFFFFF"/>
        </w:rPr>
      </w:pPr>
    </w:p>
    <w:p w14:paraId="6635C76D" w14:textId="77777777" w:rsidR="00FC49FA" w:rsidRDefault="00FC49FA" w:rsidP="00FC49FA">
      <w:pPr>
        <w:spacing w:after="0" w:line="276" w:lineRule="auto"/>
        <w:rPr>
          <w:rFonts w:ascii="Arial" w:hAnsi="Arial" w:cs="Arial"/>
          <w:noProof/>
          <w:color w:val="757575"/>
          <w:sz w:val="20"/>
          <w:szCs w:val="20"/>
          <w:shd w:val="clear" w:color="auto" w:fill="FFFFFF"/>
          <w:lang w:val="en-US"/>
        </w:rPr>
      </w:pPr>
    </w:p>
    <w:p w14:paraId="0EE6CA69" w14:textId="00255297" w:rsidR="00A26A74" w:rsidRDefault="00A26A74" w:rsidP="00000EB1">
      <w:pPr>
        <w:spacing w:after="0" w:line="276" w:lineRule="auto"/>
        <w:rPr>
          <w:rStyle w:val="Strong"/>
          <w:rFonts w:ascii="Georgia" w:hAnsi="Georgia"/>
          <w:color w:val="ED273E"/>
          <w:sz w:val="27"/>
          <w:szCs w:val="27"/>
          <w:shd w:val="clear" w:color="auto" w:fill="FFFFFF"/>
        </w:rPr>
      </w:pPr>
    </w:p>
    <w:p w14:paraId="7AF2FF4A" w14:textId="40ACEB56" w:rsidR="00A26A74" w:rsidRDefault="00D3051C" w:rsidP="00000EB1">
      <w:pPr>
        <w:spacing w:after="0" w:line="276" w:lineRule="auto"/>
        <w:rPr>
          <w:rStyle w:val="Strong"/>
          <w:rFonts w:ascii="Georgia" w:hAnsi="Georgia"/>
          <w:color w:val="ED273E"/>
          <w:sz w:val="27"/>
          <w:szCs w:val="27"/>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77184" behindDoc="0" locked="0" layoutInCell="1" allowOverlap="1" wp14:anchorId="26F9039A" wp14:editId="16C03D48">
                <wp:simplePos x="0" y="0"/>
                <wp:positionH relativeFrom="margin">
                  <wp:posOffset>-30480</wp:posOffset>
                </wp:positionH>
                <wp:positionV relativeFrom="paragraph">
                  <wp:posOffset>19404</wp:posOffset>
                </wp:positionV>
                <wp:extent cx="6299835" cy="899795"/>
                <wp:effectExtent l="19050" t="19050" r="43815" b="3365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99795"/>
                        </a:xfrm>
                        <a:prstGeom prst="rect">
                          <a:avLst/>
                        </a:prstGeom>
                        <a:solidFill>
                          <a:srgbClr val="002060"/>
                        </a:solidFill>
                        <a:ln w="57150">
                          <a:solidFill>
                            <a:srgbClr val="002060"/>
                          </a:solid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2.4pt;margin-top:1.55pt;width:496.05pt;height:70.8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" fillcolor="#002060" strokecolor="#002060"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p>
    <w:p w14:paraId="53B2E016" w14:textId="18B24266" w:rsidR="00072B55" w:rsidRPr="00000EB1" w:rsidRDefault="00347572" w:rsidP="00000EB1">
      <w:pPr>
        <w:spacing w:after="0" w:line="276" w:lineRule="auto"/>
        <w:rPr>
          <w:rStyle w:val="Strong"/>
          <w:rFonts w:ascii="Georgia" w:hAnsi="Georgia"/>
          <w:color w:val="ED273E"/>
          <w:sz w:val="27"/>
          <w:szCs w:val="27"/>
          <w:shd w:val="clear" w:color="auto" w:fill="FFFFFF"/>
        </w:rPr>
      </w:pPr>
      <w:r>
        <w:rPr>
          <w:rStyle w:val="Strong"/>
          <w:rFonts w:ascii="Georgia" w:hAnsi="Georgia"/>
          <w:color w:val="ED273E"/>
          <w:sz w:val="27"/>
          <w:szCs w:val="27"/>
          <w:shd w:val="clear" w:color="auto" w:fill="FFFFFF"/>
        </w:rPr>
        <w:t xml:space="preserve">Spike in New Cases Delay Lockdown Lift </w:t>
      </w:r>
    </w:p>
    <w:p w14:paraId="647550FC" w14:textId="18766DB9" w:rsidR="0053612B" w:rsidRPr="0053612B" w:rsidRDefault="0053612B" w:rsidP="0053612B">
      <w:pPr>
        <w:spacing w:after="0" w:line="276" w:lineRule="auto"/>
        <w:rPr>
          <w:rFonts w:ascii="Arial" w:hAnsi="Arial" w:cs="Arial"/>
          <w:color w:val="757575"/>
          <w:sz w:val="20"/>
          <w:szCs w:val="20"/>
          <w:shd w:val="clear" w:color="auto" w:fill="FFFFFF"/>
        </w:rPr>
      </w:pPr>
      <w:proofErr w:type="gramStart"/>
      <w:r w:rsidRPr="0053612B">
        <w:rPr>
          <w:rFonts w:ascii="Arial" w:hAnsi="Arial" w:cs="Arial"/>
          <w:color w:val="757575"/>
          <w:sz w:val="20"/>
          <w:szCs w:val="20"/>
          <w:shd w:val="clear" w:color="auto" w:fill="FFFFFF"/>
        </w:rPr>
        <w:t>12 and 24 month</w:t>
      </w:r>
      <w:proofErr w:type="gramEnd"/>
      <w:r w:rsidRPr="0053612B">
        <w:rPr>
          <w:rFonts w:ascii="Arial" w:hAnsi="Arial" w:cs="Arial"/>
          <w:color w:val="757575"/>
          <w:sz w:val="20"/>
          <w:szCs w:val="20"/>
          <w:shd w:val="clear" w:color="auto" w:fill="FFFFFF"/>
        </w:rPr>
        <w:t xml:space="preserve"> term contracts have opened increasingly high </w:t>
      </w:r>
      <w:r w:rsidR="00BE7869">
        <w:rPr>
          <w:rFonts w:ascii="Arial" w:hAnsi="Arial" w:cs="Arial"/>
          <w:color w:val="757575"/>
          <w:sz w:val="20"/>
          <w:szCs w:val="20"/>
          <w:shd w:val="clear" w:color="auto" w:fill="FFFFFF"/>
        </w:rPr>
        <w:t>since last</w:t>
      </w:r>
      <w:r w:rsidRPr="0053612B">
        <w:rPr>
          <w:rFonts w:ascii="Arial" w:hAnsi="Arial" w:cs="Arial"/>
          <w:color w:val="757575"/>
          <w:sz w:val="20"/>
          <w:szCs w:val="20"/>
          <w:shd w:val="clear" w:color="auto" w:fill="FFFFFF"/>
        </w:rPr>
        <w:t xml:space="preserve"> week, especially for gas contracts.</w:t>
      </w:r>
    </w:p>
    <w:p w14:paraId="03B0C5F7" w14:textId="77777777" w:rsidR="0053612B" w:rsidRPr="0053612B" w:rsidRDefault="0053612B" w:rsidP="0053612B">
      <w:pPr>
        <w:spacing w:after="0" w:line="276" w:lineRule="auto"/>
        <w:rPr>
          <w:rFonts w:ascii="Arial" w:hAnsi="Arial" w:cs="Arial"/>
          <w:color w:val="757575"/>
          <w:sz w:val="20"/>
          <w:szCs w:val="20"/>
          <w:shd w:val="clear" w:color="auto" w:fill="FFFFFF"/>
        </w:rPr>
      </w:pPr>
    </w:p>
    <w:p w14:paraId="2FA75638" w14:textId="72BAD495" w:rsidR="0053612B" w:rsidRPr="0053612B" w:rsidRDefault="0053612B" w:rsidP="0053612B">
      <w:pPr>
        <w:spacing w:after="0" w:line="276" w:lineRule="auto"/>
        <w:rPr>
          <w:rFonts w:ascii="Arial" w:hAnsi="Arial" w:cs="Arial"/>
          <w:color w:val="757575"/>
          <w:sz w:val="20"/>
          <w:szCs w:val="20"/>
          <w:shd w:val="clear" w:color="auto" w:fill="FFFFFF"/>
        </w:rPr>
      </w:pPr>
      <w:r w:rsidRPr="0053612B">
        <w:rPr>
          <w:rFonts w:ascii="Arial" w:hAnsi="Arial" w:cs="Arial"/>
          <w:color w:val="757575"/>
          <w:sz w:val="20"/>
          <w:szCs w:val="20"/>
          <w:shd w:val="clear" w:color="auto" w:fill="FFFFFF"/>
        </w:rPr>
        <w:t>As mentioned before, the</w:t>
      </w:r>
      <w:r w:rsidR="00231CC0">
        <w:rPr>
          <w:rFonts w:ascii="Arial" w:hAnsi="Arial" w:cs="Arial"/>
          <w:color w:val="757575"/>
          <w:sz w:val="20"/>
          <w:szCs w:val="20"/>
          <w:shd w:val="clear" w:color="auto" w:fill="FFFFFF"/>
        </w:rPr>
        <w:t>re</w:t>
      </w:r>
      <w:r w:rsidRPr="0053612B">
        <w:rPr>
          <w:rFonts w:ascii="Arial" w:hAnsi="Arial" w:cs="Arial"/>
          <w:color w:val="757575"/>
          <w:sz w:val="20"/>
          <w:szCs w:val="20"/>
          <w:shd w:val="clear" w:color="auto" w:fill="FFFFFF"/>
        </w:rPr>
        <w:t xml:space="preserve"> </w:t>
      </w:r>
      <w:r w:rsidR="004101D4" w:rsidRPr="0053612B">
        <w:rPr>
          <w:rFonts w:ascii="Arial" w:hAnsi="Arial" w:cs="Arial"/>
          <w:color w:val="757575"/>
          <w:sz w:val="20"/>
          <w:szCs w:val="20"/>
          <w:shd w:val="clear" w:color="auto" w:fill="FFFFFF"/>
        </w:rPr>
        <w:t>has</w:t>
      </w:r>
      <w:r w:rsidRPr="0053612B">
        <w:rPr>
          <w:rFonts w:ascii="Arial" w:hAnsi="Arial" w:cs="Arial"/>
          <w:color w:val="757575"/>
          <w:sz w:val="20"/>
          <w:szCs w:val="20"/>
          <w:shd w:val="clear" w:color="auto" w:fill="FFFFFF"/>
        </w:rPr>
        <w:t xml:space="preserve"> been a lot of concern around the UK supply levels and issues in building the inventory, especially for use in the winter months.</w:t>
      </w:r>
    </w:p>
    <w:p w14:paraId="41A372BE" w14:textId="77777777" w:rsidR="0053612B" w:rsidRPr="0053612B" w:rsidRDefault="0053612B" w:rsidP="0053612B">
      <w:pPr>
        <w:spacing w:after="0" w:line="276" w:lineRule="auto"/>
        <w:rPr>
          <w:rFonts w:ascii="Arial" w:hAnsi="Arial" w:cs="Arial"/>
          <w:color w:val="757575"/>
          <w:sz w:val="20"/>
          <w:szCs w:val="20"/>
          <w:shd w:val="clear" w:color="auto" w:fill="FFFFFF"/>
        </w:rPr>
      </w:pPr>
    </w:p>
    <w:p w14:paraId="3675B90B" w14:textId="016C5B94" w:rsidR="0053612B" w:rsidRPr="0053612B" w:rsidRDefault="0053612B" w:rsidP="0053612B">
      <w:pPr>
        <w:spacing w:after="0" w:line="276" w:lineRule="auto"/>
        <w:rPr>
          <w:rFonts w:ascii="Arial" w:hAnsi="Arial" w:cs="Arial"/>
          <w:color w:val="757575"/>
          <w:sz w:val="20"/>
          <w:szCs w:val="20"/>
          <w:shd w:val="clear" w:color="auto" w:fill="FFFFFF"/>
        </w:rPr>
      </w:pPr>
      <w:r w:rsidRPr="0053612B">
        <w:rPr>
          <w:rFonts w:ascii="Arial" w:hAnsi="Arial" w:cs="Arial"/>
          <w:color w:val="757575"/>
          <w:sz w:val="20"/>
          <w:szCs w:val="20"/>
          <w:shd w:val="clear" w:color="auto" w:fill="FFFFFF"/>
        </w:rPr>
        <w:t xml:space="preserve">The temperatures this year were below seasonal norms, meaning more gas supplies were withdrawn from storage to keep up with the increased demand. Planned maintenance at the Nord Stream 1 and Yamal pipeline and unplanned Norwegian outages have resulted in low gas supplies. </w:t>
      </w:r>
      <w:r w:rsidR="00A9706B" w:rsidRPr="00A9706B">
        <w:rPr>
          <w:rFonts w:ascii="Arial" w:hAnsi="Arial" w:cs="Arial"/>
          <w:color w:val="757575"/>
          <w:sz w:val="20"/>
          <w:szCs w:val="20"/>
          <w:shd w:val="clear" w:color="auto" w:fill="FFFFFF"/>
        </w:rPr>
        <w:t xml:space="preserve">No Liquified Natural Gas (LNG) is coming into Europe either, as premiums have </w:t>
      </w:r>
      <w:proofErr w:type="gramStart"/>
      <w:r w:rsidR="00A9706B" w:rsidRPr="00A9706B">
        <w:rPr>
          <w:rFonts w:ascii="Arial" w:hAnsi="Arial" w:cs="Arial"/>
          <w:color w:val="757575"/>
          <w:sz w:val="20"/>
          <w:szCs w:val="20"/>
          <w:shd w:val="clear" w:color="auto" w:fill="FFFFFF"/>
        </w:rPr>
        <w:t>increased</w:t>
      </w:r>
      <w:proofErr w:type="gramEnd"/>
      <w:r w:rsidR="00A9706B" w:rsidRPr="00A9706B">
        <w:rPr>
          <w:rFonts w:ascii="Arial" w:hAnsi="Arial" w:cs="Arial"/>
          <w:color w:val="757575"/>
          <w:sz w:val="20"/>
          <w:szCs w:val="20"/>
          <w:shd w:val="clear" w:color="auto" w:fill="FFFFFF"/>
        </w:rPr>
        <w:t xml:space="preserve"> and the East are willing to pay more for the gas.</w:t>
      </w:r>
    </w:p>
    <w:p w14:paraId="5D48A28D" w14:textId="77777777" w:rsidR="0053612B" w:rsidRPr="0053612B" w:rsidRDefault="0053612B" w:rsidP="0053612B">
      <w:pPr>
        <w:spacing w:after="0" w:line="276" w:lineRule="auto"/>
        <w:rPr>
          <w:rFonts w:ascii="Arial" w:hAnsi="Arial" w:cs="Arial"/>
          <w:color w:val="757575"/>
          <w:sz w:val="20"/>
          <w:szCs w:val="20"/>
          <w:shd w:val="clear" w:color="auto" w:fill="FFFFFF"/>
        </w:rPr>
      </w:pPr>
    </w:p>
    <w:p w14:paraId="4690E6F8" w14:textId="3501ED8C" w:rsidR="0053612B" w:rsidRPr="0053612B" w:rsidRDefault="0053612B" w:rsidP="0053612B">
      <w:pPr>
        <w:spacing w:after="0" w:line="276" w:lineRule="auto"/>
        <w:rPr>
          <w:rFonts w:ascii="Arial" w:hAnsi="Arial" w:cs="Arial"/>
          <w:color w:val="757575"/>
          <w:sz w:val="20"/>
          <w:szCs w:val="20"/>
          <w:shd w:val="clear" w:color="auto" w:fill="FFFFFF"/>
        </w:rPr>
      </w:pPr>
      <w:r w:rsidRPr="0053612B">
        <w:rPr>
          <w:rFonts w:ascii="Arial" w:hAnsi="Arial" w:cs="Arial"/>
          <w:color w:val="757575"/>
          <w:sz w:val="20"/>
          <w:szCs w:val="20"/>
          <w:shd w:val="clear" w:color="auto" w:fill="FFFFFF"/>
        </w:rPr>
        <w:t>Currently</w:t>
      </w:r>
      <w:r w:rsidR="00A9706B">
        <w:rPr>
          <w:rFonts w:ascii="Arial" w:hAnsi="Arial" w:cs="Arial"/>
          <w:color w:val="757575"/>
          <w:sz w:val="20"/>
          <w:szCs w:val="20"/>
          <w:shd w:val="clear" w:color="auto" w:fill="FFFFFF"/>
        </w:rPr>
        <w:t>.</w:t>
      </w:r>
      <w:r w:rsidRPr="0053612B">
        <w:rPr>
          <w:rFonts w:ascii="Arial" w:hAnsi="Arial" w:cs="Arial"/>
          <w:color w:val="757575"/>
          <w:sz w:val="20"/>
          <w:szCs w:val="20"/>
          <w:shd w:val="clear" w:color="auto" w:fill="FFFFFF"/>
        </w:rPr>
        <w:t> UK gas storage is at 15</w:t>
      </w:r>
      <w:r w:rsidR="008B5369">
        <w:rPr>
          <w:rFonts w:ascii="Arial" w:hAnsi="Arial" w:cs="Arial"/>
          <w:color w:val="757575"/>
          <w:sz w:val="20"/>
          <w:szCs w:val="20"/>
          <w:shd w:val="clear" w:color="auto" w:fill="FFFFFF"/>
        </w:rPr>
        <w:t>%</w:t>
      </w:r>
      <w:r w:rsidRPr="0053612B">
        <w:rPr>
          <w:rFonts w:ascii="Arial" w:hAnsi="Arial" w:cs="Arial"/>
          <w:color w:val="757575"/>
          <w:sz w:val="20"/>
          <w:szCs w:val="20"/>
          <w:shd w:val="clear" w:color="auto" w:fill="FFFFFF"/>
        </w:rPr>
        <w:t xml:space="preserve"> capacity, providing a lot of risk for this winter. With pipelines being offline for longer than expected, in the last 2 weeks, we have also taken 15% of gas out of the already low storage levels.</w:t>
      </w:r>
    </w:p>
    <w:p w14:paraId="3FF99993" w14:textId="77777777" w:rsidR="0053612B" w:rsidRPr="0053612B" w:rsidRDefault="0053612B" w:rsidP="0053612B">
      <w:pPr>
        <w:spacing w:after="0" w:line="276" w:lineRule="auto"/>
        <w:rPr>
          <w:rFonts w:ascii="Arial" w:hAnsi="Arial" w:cs="Arial"/>
          <w:color w:val="757575"/>
          <w:sz w:val="20"/>
          <w:szCs w:val="20"/>
          <w:shd w:val="clear" w:color="auto" w:fill="FFFFFF"/>
        </w:rPr>
      </w:pPr>
    </w:p>
    <w:p w14:paraId="6585824E" w14:textId="77777777" w:rsidR="0053612B" w:rsidRPr="0053612B" w:rsidRDefault="0053612B" w:rsidP="0053612B">
      <w:pPr>
        <w:spacing w:after="0" w:line="276" w:lineRule="auto"/>
        <w:rPr>
          <w:rFonts w:ascii="Arial" w:hAnsi="Arial" w:cs="Arial"/>
          <w:color w:val="757575"/>
          <w:sz w:val="20"/>
          <w:szCs w:val="20"/>
          <w:shd w:val="clear" w:color="auto" w:fill="FFFFFF"/>
        </w:rPr>
      </w:pPr>
      <w:r w:rsidRPr="0053612B">
        <w:rPr>
          <w:rFonts w:ascii="Arial" w:hAnsi="Arial" w:cs="Arial"/>
          <w:color w:val="757575"/>
          <w:sz w:val="20"/>
          <w:szCs w:val="20"/>
          <w:shd w:val="clear" w:color="auto" w:fill="FFFFFF"/>
        </w:rPr>
        <w:t>Why have gas prices increased even further this week?</w:t>
      </w:r>
    </w:p>
    <w:p w14:paraId="4DE4C560" w14:textId="77777777" w:rsidR="0053612B" w:rsidRPr="0053612B" w:rsidRDefault="0053612B" w:rsidP="0053612B">
      <w:pPr>
        <w:spacing w:after="0" w:line="276" w:lineRule="auto"/>
        <w:rPr>
          <w:rFonts w:ascii="Arial" w:hAnsi="Arial" w:cs="Arial"/>
          <w:color w:val="757575"/>
          <w:sz w:val="20"/>
          <w:szCs w:val="20"/>
          <w:shd w:val="clear" w:color="auto" w:fill="FFFFFF"/>
        </w:rPr>
      </w:pPr>
    </w:p>
    <w:p w14:paraId="5C74C1F3" w14:textId="77777777" w:rsidR="0053612B" w:rsidRPr="007164DF" w:rsidRDefault="0053612B" w:rsidP="007164DF">
      <w:pPr>
        <w:pStyle w:val="ListParagraph"/>
        <w:numPr>
          <w:ilvl w:val="0"/>
          <w:numId w:val="43"/>
        </w:numPr>
        <w:spacing w:after="0" w:line="276" w:lineRule="auto"/>
        <w:rPr>
          <w:rFonts w:ascii="Arial" w:hAnsi="Arial" w:cs="Arial"/>
          <w:color w:val="757575"/>
          <w:sz w:val="20"/>
          <w:szCs w:val="20"/>
          <w:shd w:val="clear" w:color="auto" w:fill="FFFFFF"/>
        </w:rPr>
      </w:pPr>
      <w:r w:rsidRPr="007164DF">
        <w:rPr>
          <w:rFonts w:ascii="Arial" w:hAnsi="Arial" w:cs="Arial"/>
          <w:color w:val="757575"/>
          <w:sz w:val="20"/>
          <w:szCs w:val="20"/>
          <w:shd w:val="clear" w:color="auto" w:fill="FFFFFF"/>
        </w:rPr>
        <w:t>Carbon prices have recently broken the 10th "new record high" in 2021 alone. This puts pressure on gas prices as gas is less expensive and "cleaner" than coal and because of the extremely high prices, gas demand is greater than other fuels to generate power due to fuel switching.</w:t>
      </w:r>
    </w:p>
    <w:p w14:paraId="06416B76" w14:textId="77777777" w:rsidR="0053612B" w:rsidRPr="007164DF" w:rsidRDefault="0053612B" w:rsidP="007164DF">
      <w:pPr>
        <w:pStyle w:val="ListParagraph"/>
        <w:numPr>
          <w:ilvl w:val="0"/>
          <w:numId w:val="43"/>
        </w:numPr>
        <w:spacing w:after="0" w:line="276" w:lineRule="auto"/>
        <w:rPr>
          <w:rFonts w:ascii="Arial" w:hAnsi="Arial" w:cs="Arial"/>
          <w:color w:val="757575"/>
          <w:sz w:val="20"/>
          <w:szCs w:val="20"/>
          <w:shd w:val="clear" w:color="auto" w:fill="FFFFFF"/>
        </w:rPr>
      </w:pPr>
      <w:r w:rsidRPr="007164DF">
        <w:rPr>
          <w:rFonts w:ascii="Arial" w:hAnsi="Arial" w:cs="Arial"/>
          <w:color w:val="757575"/>
          <w:sz w:val="20"/>
          <w:szCs w:val="20"/>
          <w:shd w:val="clear" w:color="auto" w:fill="FFFFFF"/>
        </w:rPr>
        <w:t xml:space="preserve">There is an auction on the </w:t>
      </w:r>
      <w:proofErr w:type="spellStart"/>
      <w:r w:rsidRPr="007164DF">
        <w:rPr>
          <w:rFonts w:ascii="Arial" w:hAnsi="Arial" w:cs="Arial"/>
          <w:color w:val="757575"/>
          <w:sz w:val="20"/>
          <w:szCs w:val="20"/>
          <w:shd w:val="clear" w:color="auto" w:fill="FFFFFF"/>
        </w:rPr>
        <w:t>Sudzha</w:t>
      </w:r>
      <w:proofErr w:type="spellEnd"/>
      <w:r w:rsidRPr="007164DF">
        <w:rPr>
          <w:rFonts w:ascii="Arial" w:hAnsi="Arial" w:cs="Arial"/>
          <w:color w:val="757575"/>
          <w:sz w:val="20"/>
          <w:szCs w:val="20"/>
          <w:shd w:val="clear" w:color="auto" w:fill="FFFFFF"/>
        </w:rPr>
        <w:t xml:space="preserve"> terminal on the Ukraine/Russian border. No additional capacity was booked which means there will not be any increase in Russian flows through Ukraine into Europe during July.</w:t>
      </w:r>
    </w:p>
    <w:p w14:paraId="16C43BBA" w14:textId="77777777" w:rsidR="0053612B" w:rsidRPr="007164DF" w:rsidRDefault="0053612B" w:rsidP="007164DF">
      <w:pPr>
        <w:pStyle w:val="ListParagraph"/>
        <w:numPr>
          <w:ilvl w:val="0"/>
          <w:numId w:val="43"/>
        </w:numPr>
        <w:spacing w:after="0" w:line="276" w:lineRule="auto"/>
        <w:rPr>
          <w:rFonts w:ascii="Arial" w:hAnsi="Arial" w:cs="Arial"/>
          <w:color w:val="757575"/>
          <w:sz w:val="20"/>
          <w:szCs w:val="20"/>
          <w:shd w:val="clear" w:color="auto" w:fill="FFFFFF"/>
        </w:rPr>
      </w:pPr>
      <w:r w:rsidRPr="007164DF">
        <w:rPr>
          <w:rFonts w:ascii="Arial" w:hAnsi="Arial" w:cs="Arial"/>
          <w:color w:val="757575"/>
          <w:sz w:val="20"/>
          <w:szCs w:val="20"/>
          <w:shd w:val="clear" w:color="auto" w:fill="FFFFFF"/>
        </w:rPr>
        <w:t xml:space="preserve">The Yamal and Nord Stream pipelines will be offline 6th-10th July and 13th-24th July respectively due to maintenance. This will significantly reduce Russian flows into Europe. Storage is therefore unlikely to be balanced with the reality that no extra volume will arrive in Europe due to the </w:t>
      </w:r>
      <w:proofErr w:type="spellStart"/>
      <w:r w:rsidRPr="007164DF">
        <w:rPr>
          <w:rFonts w:ascii="Arial" w:hAnsi="Arial" w:cs="Arial"/>
          <w:color w:val="757575"/>
          <w:sz w:val="20"/>
          <w:szCs w:val="20"/>
          <w:shd w:val="clear" w:color="auto" w:fill="FFFFFF"/>
        </w:rPr>
        <w:t>Sudzha</w:t>
      </w:r>
      <w:proofErr w:type="spellEnd"/>
      <w:r w:rsidRPr="007164DF">
        <w:rPr>
          <w:rFonts w:ascii="Arial" w:hAnsi="Arial" w:cs="Arial"/>
          <w:color w:val="757575"/>
          <w:sz w:val="20"/>
          <w:szCs w:val="20"/>
          <w:shd w:val="clear" w:color="auto" w:fill="FFFFFF"/>
        </w:rPr>
        <w:t xml:space="preserve"> auction. Gas is currently flowing at 320mcm a day to Europe (twice the amount for total UK demand). When the Yamal pipeline goes offline, this volume will fall to 264mcm and to 160mcm when Nord Stream is offline.</w:t>
      </w:r>
    </w:p>
    <w:p w14:paraId="6448DA35" w14:textId="77777777" w:rsidR="007164DF" w:rsidRDefault="007164DF" w:rsidP="007164DF">
      <w:pPr>
        <w:spacing w:after="0" w:line="276" w:lineRule="auto"/>
        <w:rPr>
          <w:rFonts w:ascii="Arial" w:hAnsi="Arial" w:cs="Arial"/>
          <w:color w:val="757575"/>
          <w:sz w:val="20"/>
          <w:szCs w:val="20"/>
          <w:shd w:val="clear" w:color="auto" w:fill="FFFFFF"/>
        </w:rPr>
      </w:pPr>
    </w:p>
    <w:p w14:paraId="58B18DB4" w14:textId="2B046FFC" w:rsidR="008E5FCC" w:rsidRPr="007164DF" w:rsidRDefault="0053612B" w:rsidP="007164DF">
      <w:pPr>
        <w:spacing w:after="0" w:line="276" w:lineRule="auto"/>
        <w:rPr>
          <w:rFonts w:ascii="Arial" w:eastAsia="Times New Roman" w:hAnsi="Arial" w:cs="Arial"/>
          <w:color w:val="757575"/>
          <w:sz w:val="20"/>
          <w:szCs w:val="20"/>
          <w:lang w:eastAsia="en-GB"/>
        </w:rPr>
      </w:pPr>
      <w:r w:rsidRPr="007164DF">
        <w:rPr>
          <w:rFonts w:ascii="Arial" w:hAnsi="Arial" w:cs="Arial"/>
          <w:color w:val="757575"/>
          <w:sz w:val="20"/>
          <w:szCs w:val="20"/>
          <w:shd w:val="clear" w:color="auto" w:fill="FFFFFF"/>
        </w:rPr>
        <w:t>In conclusion, with already low supplies and more outages, the gas market is likely to be short for the winter months. Contract prices are high now as suppliers plan how much energy they will need and forward buy. If you are looking at renewing your contract later this year, we would advise comparing prices now to see your options and secure today's rates before they increase even further.</w:t>
      </w:r>
    </w:p>
    <w:sectPr w:rsidR="008E5FCC" w:rsidRPr="007164DF" w:rsidSect="007E4D00">
      <w:headerReference w:type="default" r:id="rId15"/>
      <w:footerReference w:type="default" r:id="rId16"/>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9E13" w14:textId="77777777" w:rsidR="009717CE" w:rsidRDefault="009717CE" w:rsidP="00111B4C">
      <w:pPr>
        <w:spacing w:after="0" w:line="240" w:lineRule="auto"/>
      </w:pPr>
      <w:r>
        <w:separator/>
      </w:r>
    </w:p>
  </w:endnote>
  <w:endnote w:type="continuationSeparator" w:id="0">
    <w:p w14:paraId="5F96B5F7" w14:textId="77777777" w:rsidR="009717CE" w:rsidRDefault="009717CE"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1D7" w14:textId="2CE9B0F0" w:rsidR="000C6049" w:rsidRDefault="00A26A74">
    <w:pPr>
      <w:pStyle w:val="Footer"/>
    </w:pPr>
    <w:r w:rsidRPr="00C3678B">
      <w:rPr>
        <w:rFonts w:ascii="Helvetica" w:hAnsi="Helvetica" w:cs="Helvetica"/>
        <w:noProof/>
        <w:sz w:val="24"/>
        <w:szCs w:val="24"/>
        <w:lang w:val="en-US"/>
      </w:rPr>
      <mc:AlternateContent>
        <mc:Choice Requires="wps">
          <w:drawing>
            <wp:anchor distT="45720" distB="45720" distL="114300" distR="114300" simplePos="0" relativeHeight="251660288" behindDoc="0" locked="0" layoutInCell="1" allowOverlap="1" wp14:anchorId="1C35B963" wp14:editId="4DF09E4F">
              <wp:simplePos x="0" y="0"/>
              <wp:positionH relativeFrom="margin">
                <wp:posOffset>-967740</wp:posOffset>
              </wp:positionH>
              <wp:positionV relativeFrom="paragraph">
                <wp:posOffset>-76933</wp:posOffset>
              </wp:positionV>
              <wp:extent cx="8199120" cy="800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800100"/>
                      </a:xfrm>
                      <a:prstGeom prst="rect">
                        <a:avLst/>
                      </a:prstGeom>
                      <a:solidFill>
                        <a:srgbClr val="002060"/>
                      </a:solidFill>
                      <a:ln w="57150">
                        <a:noFill/>
                        <a:miter lim="800000"/>
                        <a:headEnd/>
                        <a:tailEnd/>
                      </a:ln>
                    </wps:spPr>
                    <wps:txbx>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wps:txbx>
                    <wps:bodyPr rot="0" vert="horz" wrap="square" lIns="720000" tIns="108000" rIns="54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5B963" id="_x0000_t202" coordsize="21600,21600" o:spt="202" path="m,l,21600r21600,l21600,xe">
              <v:stroke joinstyle="miter"/>
              <v:path gradientshapeok="t" o:connecttype="rect"/>
            </v:shapetype>
            <v:shape id="_x0000_s1029" type="#_x0000_t202" style="position:absolute;margin-left:-76.2pt;margin-top:-6.05pt;width:645.6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" fillcolor="#002060" stroked="f" strokeweight="4.5pt">
              <v:textbox inset="20mm,3mm,15mm">
                <w:txbxContent>
                  <w:p w14:paraId="7940F80D" w14:textId="77777777" w:rsidR="00A26A74" w:rsidRPr="00670A6A" w:rsidRDefault="00A26A74" w:rsidP="00A26A74">
                    <w:pPr>
                      <w:spacing w:after="0"/>
                      <w:jc w:val="right"/>
                      <w:rPr>
                        <w:b/>
                        <w:bCs/>
                        <w:sz w:val="24"/>
                        <w:szCs w:val="24"/>
                        <w:lang w:val="en-US"/>
                      </w:rPr>
                    </w:pPr>
                    <w:r w:rsidRPr="00670A6A">
                      <w:rPr>
                        <w:b/>
                        <w:bCs/>
                        <w:sz w:val="24"/>
                        <w:szCs w:val="24"/>
                        <w:lang w:val="en-US"/>
                      </w:rPr>
                      <w:t>partners@fidelity-energy.co.uk</w:t>
                    </w:r>
                  </w:p>
                  <w:p w14:paraId="41D7EB48" w14:textId="1FFCE43A" w:rsidR="00A26A74" w:rsidRPr="00670A6A" w:rsidRDefault="00A26A74" w:rsidP="00A26A74">
                    <w:pPr>
                      <w:spacing w:after="0"/>
                      <w:jc w:val="right"/>
                      <w:rPr>
                        <w:b/>
                        <w:bCs/>
                        <w:sz w:val="24"/>
                        <w:szCs w:val="24"/>
                        <w:lang w:val="en-US"/>
                      </w:rPr>
                    </w:pPr>
                    <w:r w:rsidRPr="00670A6A">
                      <w:rPr>
                        <w:b/>
                        <w:bCs/>
                        <w:sz w:val="24"/>
                        <w:szCs w:val="24"/>
                        <w:lang w:val="en-US"/>
                      </w:rPr>
                      <w:t>08000 48 48 00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A972" w14:textId="77777777" w:rsidR="009717CE" w:rsidRDefault="009717CE" w:rsidP="00111B4C">
      <w:pPr>
        <w:spacing w:after="0" w:line="240" w:lineRule="auto"/>
      </w:pPr>
      <w:r>
        <w:separator/>
      </w:r>
    </w:p>
  </w:footnote>
  <w:footnote w:type="continuationSeparator" w:id="0">
    <w:p w14:paraId="75369402" w14:textId="77777777" w:rsidR="009717CE" w:rsidRDefault="009717CE" w:rsidP="0011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8759" w14:textId="621960E1" w:rsidR="00295D3D" w:rsidRDefault="00295D3D">
    <w:pPr>
      <w:pStyle w:val="Header"/>
    </w:pPr>
    <w:r>
      <w:rPr>
        <w:noProof/>
      </w:rPr>
      <w:drawing>
        <wp:anchor distT="0" distB="0" distL="114300" distR="114300" simplePos="0" relativeHeight="251658240" behindDoc="0" locked="0" layoutInCell="1" allowOverlap="1" wp14:anchorId="02A687D6" wp14:editId="60B8DA94">
          <wp:simplePos x="0" y="0"/>
          <wp:positionH relativeFrom="margin">
            <wp:align>center</wp:align>
          </wp:positionH>
          <wp:positionV relativeFrom="paragraph">
            <wp:posOffset>-232391</wp:posOffset>
          </wp:positionV>
          <wp:extent cx="1880870" cy="652145"/>
          <wp:effectExtent l="0" t="0" r="5080" b="0"/>
          <wp:wrapTopAndBottom/>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ogo.jpg"/>
                  <pic:cNvPicPr/>
                </pic:nvPicPr>
                <pic:blipFill>
                  <a:blip r:embed="rId1">
                    <a:extLst>
                      <a:ext uri="{28A0092B-C50C-407E-A947-70E740481C1C}">
                        <a14:useLocalDpi xmlns:a14="http://schemas.microsoft.com/office/drawing/2010/main" val="0"/>
                      </a:ext>
                    </a:extLst>
                  </a:blip>
                  <a:stretch>
                    <a:fillRect/>
                  </a:stretch>
                </pic:blipFill>
                <pic:spPr>
                  <a:xfrm>
                    <a:off x="0" y="0"/>
                    <a:ext cx="188087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D4"/>
    <w:multiLevelType w:val="hybridMultilevel"/>
    <w:tmpl w:val="F832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6D9B"/>
    <w:multiLevelType w:val="hybridMultilevel"/>
    <w:tmpl w:val="2C1A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1E1A"/>
    <w:multiLevelType w:val="hybridMultilevel"/>
    <w:tmpl w:val="05F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DE8"/>
    <w:multiLevelType w:val="hybridMultilevel"/>
    <w:tmpl w:val="589A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3C98"/>
    <w:multiLevelType w:val="hybridMultilevel"/>
    <w:tmpl w:val="ACDE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64A31"/>
    <w:multiLevelType w:val="hybridMultilevel"/>
    <w:tmpl w:val="193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749ED"/>
    <w:multiLevelType w:val="hybridMultilevel"/>
    <w:tmpl w:val="9FD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30B3"/>
    <w:multiLevelType w:val="hybridMultilevel"/>
    <w:tmpl w:val="DC90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67163"/>
    <w:multiLevelType w:val="hybridMultilevel"/>
    <w:tmpl w:val="6DA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95A1E"/>
    <w:multiLevelType w:val="hybridMultilevel"/>
    <w:tmpl w:val="F02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66012"/>
    <w:multiLevelType w:val="hybridMultilevel"/>
    <w:tmpl w:val="D27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92349"/>
    <w:multiLevelType w:val="hybridMultilevel"/>
    <w:tmpl w:val="BEB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72EC0"/>
    <w:multiLevelType w:val="hybridMultilevel"/>
    <w:tmpl w:val="5BC4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861BC"/>
    <w:multiLevelType w:val="hybridMultilevel"/>
    <w:tmpl w:val="6FC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92198"/>
    <w:multiLevelType w:val="hybridMultilevel"/>
    <w:tmpl w:val="E41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8188B"/>
    <w:multiLevelType w:val="hybridMultilevel"/>
    <w:tmpl w:val="66F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76C02"/>
    <w:multiLevelType w:val="hybridMultilevel"/>
    <w:tmpl w:val="A9C6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A4233"/>
    <w:multiLevelType w:val="hybridMultilevel"/>
    <w:tmpl w:val="B962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31A62"/>
    <w:multiLevelType w:val="hybridMultilevel"/>
    <w:tmpl w:val="AF7C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F1CC3"/>
    <w:multiLevelType w:val="hybridMultilevel"/>
    <w:tmpl w:val="2B5A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A42F9"/>
    <w:multiLevelType w:val="multilevel"/>
    <w:tmpl w:val="376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208E8"/>
    <w:multiLevelType w:val="hybridMultilevel"/>
    <w:tmpl w:val="94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C2ABD"/>
    <w:multiLevelType w:val="multilevel"/>
    <w:tmpl w:val="C052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C14B8"/>
    <w:multiLevelType w:val="hybridMultilevel"/>
    <w:tmpl w:val="1A4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04E29"/>
    <w:multiLevelType w:val="hybridMultilevel"/>
    <w:tmpl w:val="6F5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156B5"/>
    <w:multiLevelType w:val="multilevel"/>
    <w:tmpl w:val="3D4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4464C"/>
    <w:multiLevelType w:val="hybridMultilevel"/>
    <w:tmpl w:val="087E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1205D"/>
    <w:multiLevelType w:val="hybridMultilevel"/>
    <w:tmpl w:val="B362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75BC5"/>
    <w:multiLevelType w:val="hybridMultilevel"/>
    <w:tmpl w:val="AFA4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11EB3"/>
    <w:multiLevelType w:val="hybridMultilevel"/>
    <w:tmpl w:val="D7C6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6411A"/>
    <w:multiLevelType w:val="hybridMultilevel"/>
    <w:tmpl w:val="8368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8696D"/>
    <w:multiLevelType w:val="hybridMultilevel"/>
    <w:tmpl w:val="93B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07620"/>
    <w:multiLevelType w:val="hybridMultilevel"/>
    <w:tmpl w:val="DA94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B5E17"/>
    <w:multiLevelType w:val="hybridMultilevel"/>
    <w:tmpl w:val="C282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14AE3"/>
    <w:multiLevelType w:val="hybridMultilevel"/>
    <w:tmpl w:val="4E2A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929DC"/>
    <w:multiLevelType w:val="hybridMultilevel"/>
    <w:tmpl w:val="325E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37E5A"/>
    <w:multiLevelType w:val="hybridMultilevel"/>
    <w:tmpl w:val="4C2C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817CD"/>
    <w:multiLevelType w:val="hybridMultilevel"/>
    <w:tmpl w:val="A30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65C0B"/>
    <w:multiLevelType w:val="hybridMultilevel"/>
    <w:tmpl w:val="B78E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042B4"/>
    <w:multiLevelType w:val="hybridMultilevel"/>
    <w:tmpl w:val="6AB4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8518A"/>
    <w:multiLevelType w:val="hybridMultilevel"/>
    <w:tmpl w:val="BFC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96965"/>
    <w:multiLevelType w:val="multilevel"/>
    <w:tmpl w:val="3D4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81717"/>
    <w:multiLevelType w:val="hybridMultilevel"/>
    <w:tmpl w:val="0884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
  </w:num>
  <w:num w:numId="4">
    <w:abstractNumId w:val="21"/>
  </w:num>
  <w:num w:numId="5">
    <w:abstractNumId w:val="14"/>
  </w:num>
  <w:num w:numId="6">
    <w:abstractNumId w:val="8"/>
  </w:num>
  <w:num w:numId="7">
    <w:abstractNumId w:val="9"/>
  </w:num>
  <w:num w:numId="8">
    <w:abstractNumId w:val="26"/>
  </w:num>
  <w:num w:numId="9">
    <w:abstractNumId w:val="33"/>
  </w:num>
  <w:num w:numId="10">
    <w:abstractNumId w:val="29"/>
  </w:num>
  <w:num w:numId="11">
    <w:abstractNumId w:val="38"/>
  </w:num>
  <w:num w:numId="12">
    <w:abstractNumId w:val="36"/>
  </w:num>
  <w:num w:numId="13">
    <w:abstractNumId w:val="1"/>
  </w:num>
  <w:num w:numId="14">
    <w:abstractNumId w:val="18"/>
  </w:num>
  <w:num w:numId="15">
    <w:abstractNumId w:val="37"/>
  </w:num>
  <w:num w:numId="16">
    <w:abstractNumId w:val="31"/>
  </w:num>
  <w:num w:numId="17">
    <w:abstractNumId w:val="24"/>
  </w:num>
  <w:num w:numId="18">
    <w:abstractNumId w:val="2"/>
  </w:num>
  <w:num w:numId="19">
    <w:abstractNumId w:val="7"/>
  </w:num>
  <w:num w:numId="20">
    <w:abstractNumId w:val="16"/>
  </w:num>
  <w:num w:numId="21">
    <w:abstractNumId w:val="42"/>
  </w:num>
  <w:num w:numId="22">
    <w:abstractNumId w:val="15"/>
  </w:num>
  <w:num w:numId="23">
    <w:abstractNumId w:val="20"/>
  </w:num>
  <w:num w:numId="24">
    <w:abstractNumId w:val="0"/>
  </w:num>
  <w:num w:numId="25">
    <w:abstractNumId w:val="12"/>
  </w:num>
  <w:num w:numId="26">
    <w:abstractNumId w:val="4"/>
  </w:num>
  <w:num w:numId="27">
    <w:abstractNumId w:val="32"/>
  </w:num>
  <w:num w:numId="28">
    <w:abstractNumId w:val="30"/>
  </w:num>
  <w:num w:numId="29">
    <w:abstractNumId w:val="34"/>
  </w:num>
  <w:num w:numId="30">
    <w:abstractNumId w:val="5"/>
  </w:num>
  <w:num w:numId="31">
    <w:abstractNumId w:val="13"/>
  </w:num>
  <w:num w:numId="32">
    <w:abstractNumId w:val="39"/>
  </w:num>
  <w:num w:numId="33">
    <w:abstractNumId w:val="27"/>
  </w:num>
  <w:num w:numId="34">
    <w:abstractNumId w:val="28"/>
  </w:num>
  <w:num w:numId="35">
    <w:abstractNumId w:val="19"/>
  </w:num>
  <w:num w:numId="36">
    <w:abstractNumId w:val="35"/>
  </w:num>
  <w:num w:numId="37">
    <w:abstractNumId w:val="17"/>
  </w:num>
  <w:num w:numId="38">
    <w:abstractNumId w:val="10"/>
  </w:num>
  <w:num w:numId="39">
    <w:abstractNumId w:val="11"/>
  </w:num>
  <w:num w:numId="40">
    <w:abstractNumId w:val="23"/>
  </w:num>
  <w:num w:numId="41">
    <w:abstractNumId w:val="25"/>
  </w:num>
  <w:num w:numId="42">
    <w:abstractNumId w:val="2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0EB1"/>
    <w:rsid w:val="0000176D"/>
    <w:rsid w:val="00002AAF"/>
    <w:rsid w:val="0000496B"/>
    <w:rsid w:val="00006BB9"/>
    <w:rsid w:val="00010ACF"/>
    <w:rsid w:val="00011E3E"/>
    <w:rsid w:val="00021CB3"/>
    <w:rsid w:val="00022632"/>
    <w:rsid w:val="00026DC9"/>
    <w:rsid w:val="00030CAF"/>
    <w:rsid w:val="000333F6"/>
    <w:rsid w:val="00036F6B"/>
    <w:rsid w:val="00042AD1"/>
    <w:rsid w:val="000525B2"/>
    <w:rsid w:val="00055D29"/>
    <w:rsid w:val="00060E3F"/>
    <w:rsid w:val="00064584"/>
    <w:rsid w:val="00065140"/>
    <w:rsid w:val="00066677"/>
    <w:rsid w:val="00072B55"/>
    <w:rsid w:val="0007349A"/>
    <w:rsid w:val="000740BA"/>
    <w:rsid w:val="00085198"/>
    <w:rsid w:val="00090299"/>
    <w:rsid w:val="000945E4"/>
    <w:rsid w:val="000A5BD7"/>
    <w:rsid w:val="000A7507"/>
    <w:rsid w:val="000A7A93"/>
    <w:rsid w:val="000B1C96"/>
    <w:rsid w:val="000B2621"/>
    <w:rsid w:val="000B2F23"/>
    <w:rsid w:val="000C3622"/>
    <w:rsid w:val="000C6049"/>
    <w:rsid w:val="000D17FF"/>
    <w:rsid w:val="000D3008"/>
    <w:rsid w:val="000D5A41"/>
    <w:rsid w:val="000D695F"/>
    <w:rsid w:val="000E0368"/>
    <w:rsid w:val="000E2269"/>
    <w:rsid w:val="000E6590"/>
    <w:rsid w:val="000E7298"/>
    <w:rsid w:val="000F6F68"/>
    <w:rsid w:val="00111B4C"/>
    <w:rsid w:val="001203BC"/>
    <w:rsid w:val="00121811"/>
    <w:rsid w:val="00122BC3"/>
    <w:rsid w:val="00137E62"/>
    <w:rsid w:val="0014314F"/>
    <w:rsid w:val="00144761"/>
    <w:rsid w:val="00144F2E"/>
    <w:rsid w:val="00153A8D"/>
    <w:rsid w:val="00153EA9"/>
    <w:rsid w:val="00157345"/>
    <w:rsid w:val="00161C92"/>
    <w:rsid w:val="00166628"/>
    <w:rsid w:val="00175898"/>
    <w:rsid w:val="001801C2"/>
    <w:rsid w:val="0019061F"/>
    <w:rsid w:val="0019346D"/>
    <w:rsid w:val="001A55DA"/>
    <w:rsid w:val="001B32C1"/>
    <w:rsid w:val="001B5805"/>
    <w:rsid w:val="001C357E"/>
    <w:rsid w:val="001C3E98"/>
    <w:rsid w:val="001C7DD0"/>
    <w:rsid w:val="001D318A"/>
    <w:rsid w:val="001D435A"/>
    <w:rsid w:val="001D4AFC"/>
    <w:rsid w:val="001E0D07"/>
    <w:rsid w:val="001E6E67"/>
    <w:rsid w:val="001F1E40"/>
    <w:rsid w:val="001F61D2"/>
    <w:rsid w:val="00206A01"/>
    <w:rsid w:val="002076AB"/>
    <w:rsid w:val="00213101"/>
    <w:rsid w:val="00215E06"/>
    <w:rsid w:val="00216A7B"/>
    <w:rsid w:val="00224C68"/>
    <w:rsid w:val="00231497"/>
    <w:rsid w:val="00231CC0"/>
    <w:rsid w:val="00244253"/>
    <w:rsid w:val="00244897"/>
    <w:rsid w:val="0024631E"/>
    <w:rsid w:val="002463E7"/>
    <w:rsid w:val="00250719"/>
    <w:rsid w:val="00265D5F"/>
    <w:rsid w:val="00270639"/>
    <w:rsid w:val="002709EC"/>
    <w:rsid w:val="00276ACC"/>
    <w:rsid w:val="00286F92"/>
    <w:rsid w:val="00294C2B"/>
    <w:rsid w:val="00295D3D"/>
    <w:rsid w:val="0029740F"/>
    <w:rsid w:val="002A38A0"/>
    <w:rsid w:val="002A5390"/>
    <w:rsid w:val="002B6CE2"/>
    <w:rsid w:val="002C2C01"/>
    <w:rsid w:val="002D63D9"/>
    <w:rsid w:val="002D6B8F"/>
    <w:rsid w:val="002E47AE"/>
    <w:rsid w:val="002F46B1"/>
    <w:rsid w:val="00300328"/>
    <w:rsid w:val="003012FC"/>
    <w:rsid w:val="00303AD5"/>
    <w:rsid w:val="003067A6"/>
    <w:rsid w:val="00307D38"/>
    <w:rsid w:val="003100AA"/>
    <w:rsid w:val="00310906"/>
    <w:rsid w:val="0031379C"/>
    <w:rsid w:val="00320DF7"/>
    <w:rsid w:val="00332E4C"/>
    <w:rsid w:val="00341F89"/>
    <w:rsid w:val="003421B3"/>
    <w:rsid w:val="00347572"/>
    <w:rsid w:val="00353BBD"/>
    <w:rsid w:val="00366E0D"/>
    <w:rsid w:val="00392067"/>
    <w:rsid w:val="00394345"/>
    <w:rsid w:val="00394789"/>
    <w:rsid w:val="003952EE"/>
    <w:rsid w:val="003A50DE"/>
    <w:rsid w:val="003A58C9"/>
    <w:rsid w:val="003A7109"/>
    <w:rsid w:val="003A7468"/>
    <w:rsid w:val="003C1B75"/>
    <w:rsid w:val="003D5761"/>
    <w:rsid w:val="003D577E"/>
    <w:rsid w:val="003E432A"/>
    <w:rsid w:val="003E76AB"/>
    <w:rsid w:val="003F31C8"/>
    <w:rsid w:val="003F459C"/>
    <w:rsid w:val="003F6BBA"/>
    <w:rsid w:val="0040111A"/>
    <w:rsid w:val="004037BF"/>
    <w:rsid w:val="00405D76"/>
    <w:rsid w:val="004100AD"/>
    <w:rsid w:val="004101D4"/>
    <w:rsid w:val="00421D5B"/>
    <w:rsid w:val="00425D87"/>
    <w:rsid w:val="0043162A"/>
    <w:rsid w:val="00434100"/>
    <w:rsid w:val="00442A99"/>
    <w:rsid w:val="00455B70"/>
    <w:rsid w:val="00470320"/>
    <w:rsid w:val="004739AB"/>
    <w:rsid w:val="00484765"/>
    <w:rsid w:val="00484943"/>
    <w:rsid w:val="00484E04"/>
    <w:rsid w:val="00497B00"/>
    <w:rsid w:val="004A4AEF"/>
    <w:rsid w:val="004A4DCD"/>
    <w:rsid w:val="004A60F9"/>
    <w:rsid w:val="004A7B75"/>
    <w:rsid w:val="004B6610"/>
    <w:rsid w:val="004B7134"/>
    <w:rsid w:val="004C3982"/>
    <w:rsid w:val="004C60E1"/>
    <w:rsid w:val="004C76F1"/>
    <w:rsid w:val="004D5316"/>
    <w:rsid w:val="004D69FD"/>
    <w:rsid w:val="004E1506"/>
    <w:rsid w:val="004E627D"/>
    <w:rsid w:val="004E6EC6"/>
    <w:rsid w:val="004F10BD"/>
    <w:rsid w:val="004F665F"/>
    <w:rsid w:val="00503E05"/>
    <w:rsid w:val="005109E3"/>
    <w:rsid w:val="00514274"/>
    <w:rsid w:val="005310A3"/>
    <w:rsid w:val="005313F5"/>
    <w:rsid w:val="0053612B"/>
    <w:rsid w:val="00540C8E"/>
    <w:rsid w:val="005429BA"/>
    <w:rsid w:val="00551D4D"/>
    <w:rsid w:val="00555D7B"/>
    <w:rsid w:val="005576C0"/>
    <w:rsid w:val="0055771B"/>
    <w:rsid w:val="00563815"/>
    <w:rsid w:val="00570619"/>
    <w:rsid w:val="00575D07"/>
    <w:rsid w:val="005805C1"/>
    <w:rsid w:val="0058468A"/>
    <w:rsid w:val="0059117D"/>
    <w:rsid w:val="00593B2F"/>
    <w:rsid w:val="0059534A"/>
    <w:rsid w:val="00595DAB"/>
    <w:rsid w:val="005A3A3E"/>
    <w:rsid w:val="005B02C3"/>
    <w:rsid w:val="005B18FA"/>
    <w:rsid w:val="005B411C"/>
    <w:rsid w:val="005C3618"/>
    <w:rsid w:val="005C569D"/>
    <w:rsid w:val="005D307F"/>
    <w:rsid w:val="005D3B67"/>
    <w:rsid w:val="005E461C"/>
    <w:rsid w:val="00603D29"/>
    <w:rsid w:val="006041A0"/>
    <w:rsid w:val="006106AC"/>
    <w:rsid w:val="00615540"/>
    <w:rsid w:val="00616046"/>
    <w:rsid w:val="00620244"/>
    <w:rsid w:val="00620251"/>
    <w:rsid w:val="00622512"/>
    <w:rsid w:val="00622E16"/>
    <w:rsid w:val="00625F14"/>
    <w:rsid w:val="006374C0"/>
    <w:rsid w:val="006375BC"/>
    <w:rsid w:val="00642C72"/>
    <w:rsid w:val="00656B76"/>
    <w:rsid w:val="00663A6E"/>
    <w:rsid w:val="00670A6A"/>
    <w:rsid w:val="00672F5A"/>
    <w:rsid w:val="00686B19"/>
    <w:rsid w:val="006911BD"/>
    <w:rsid w:val="006918CD"/>
    <w:rsid w:val="00692902"/>
    <w:rsid w:val="00696612"/>
    <w:rsid w:val="006966C5"/>
    <w:rsid w:val="006A12DD"/>
    <w:rsid w:val="006A2542"/>
    <w:rsid w:val="006A5141"/>
    <w:rsid w:val="006C242B"/>
    <w:rsid w:val="006C2CF6"/>
    <w:rsid w:val="006C55F0"/>
    <w:rsid w:val="006C56A2"/>
    <w:rsid w:val="006D39A9"/>
    <w:rsid w:val="006D5232"/>
    <w:rsid w:val="006D5AFC"/>
    <w:rsid w:val="006E0762"/>
    <w:rsid w:val="006E2810"/>
    <w:rsid w:val="006E2D17"/>
    <w:rsid w:val="006E4B6E"/>
    <w:rsid w:val="006F08B0"/>
    <w:rsid w:val="006F1E02"/>
    <w:rsid w:val="006F7BE5"/>
    <w:rsid w:val="0070183E"/>
    <w:rsid w:val="00702C2E"/>
    <w:rsid w:val="007031F8"/>
    <w:rsid w:val="007141FF"/>
    <w:rsid w:val="007164DF"/>
    <w:rsid w:val="0071789E"/>
    <w:rsid w:val="00723B3C"/>
    <w:rsid w:val="007300F4"/>
    <w:rsid w:val="00730D02"/>
    <w:rsid w:val="00736BD9"/>
    <w:rsid w:val="007406A8"/>
    <w:rsid w:val="007468B1"/>
    <w:rsid w:val="00746ED3"/>
    <w:rsid w:val="00764369"/>
    <w:rsid w:val="00774B0C"/>
    <w:rsid w:val="0078002E"/>
    <w:rsid w:val="00784CBA"/>
    <w:rsid w:val="007878D8"/>
    <w:rsid w:val="00787953"/>
    <w:rsid w:val="00791BED"/>
    <w:rsid w:val="0079650D"/>
    <w:rsid w:val="007A10A8"/>
    <w:rsid w:val="007B1995"/>
    <w:rsid w:val="007B5FBB"/>
    <w:rsid w:val="007C070E"/>
    <w:rsid w:val="007C431F"/>
    <w:rsid w:val="007C6B7D"/>
    <w:rsid w:val="007C711B"/>
    <w:rsid w:val="007D0CE1"/>
    <w:rsid w:val="007E21A9"/>
    <w:rsid w:val="007E4D00"/>
    <w:rsid w:val="007E643F"/>
    <w:rsid w:val="007F3E27"/>
    <w:rsid w:val="00816A63"/>
    <w:rsid w:val="0082083F"/>
    <w:rsid w:val="008215B7"/>
    <w:rsid w:val="008252D5"/>
    <w:rsid w:val="008304C3"/>
    <w:rsid w:val="00830AF5"/>
    <w:rsid w:val="008316B7"/>
    <w:rsid w:val="00833C39"/>
    <w:rsid w:val="00840BE1"/>
    <w:rsid w:val="008419F9"/>
    <w:rsid w:val="00844270"/>
    <w:rsid w:val="00844B42"/>
    <w:rsid w:val="008454B8"/>
    <w:rsid w:val="008507B2"/>
    <w:rsid w:val="0085597B"/>
    <w:rsid w:val="0086072D"/>
    <w:rsid w:val="008668AB"/>
    <w:rsid w:val="00870538"/>
    <w:rsid w:val="00871CA2"/>
    <w:rsid w:val="00872F6F"/>
    <w:rsid w:val="00876977"/>
    <w:rsid w:val="008828DB"/>
    <w:rsid w:val="00887252"/>
    <w:rsid w:val="00893397"/>
    <w:rsid w:val="008A2BBF"/>
    <w:rsid w:val="008A5AD8"/>
    <w:rsid w:val="008B5369"/>
    <w:rsid w:val="008B7B86"/>
    <w:rsid w:val="008C60FD"/>
    <w:rsid w:val="008C6C8C"/>
    <w:rsid w:val="008C7CB1"/>
    <w:rsid w:val="008D01A5"/>
    <w:rsid w:val="008D5E68"/>
    <w:rsid w:val="008E5AE9"/>
    <w:rsid w:val="008E5FCC"/>
    <w:rsid w:val="008F2DE8"/>
    <w:rsid w:val="008F3BAA"/>
    <w:rsid w:val="008F6006"/>
    <w:rsid w:val="00903C95"/>
    <w:rsid w:val="00911DFD"/>
    <w:rsid w:val="0093407D"/>
    <w:rsid w:val="00937D3A"/>
    <w:rsid w:val="0094036A"/>
    <w:rsid w:val="00943783"/>
    <w:rsid w:val="00947E76"/>
    <w:rsid w:val="0095191A"/>
    <w:rsid w:val="009574C7"/>
    <w:rsid w:val="00961835"/>
    <w:rsid w:val="009648D8"/>
    <w:rsid w:val="0096649F"/>
    <w:rsid w:val="009666DC"/>
    <w:rsid w:val="00966AF8"/>
    <w:rsid w:val="009717CE"/>
    <w:rsid w:val="00983192"/>
    <w:rsid w:val="009A62F9"/>
    <w:rsid w:val="009A69E0"/>
    <w:rsid w:val="009B2C5F"/>
    <w:rsid w:val="009C42D9"/>
    <w:rsid w:val="009D718D"/>
    <w:rsid w:val="009E61E4"/>
    <w:rsid w:val="009F48EF"/>
    <w:rsid w:val="00A06512"/>
    <w:rsid w:val="00A228AB"/>
    <w:rsid w:val="00A26A74"/>
    <w:rsid w:val="00A32A62"/>
    <w:rsid w:val="00A369E4"/>
    <w:rsid w:val="00A4652E"/>
    <w:rsid w:val="00A4743C"/>
    <w:rsid w:val="00A51A33"/>
    <w:rsid w:val="00A55F41"/>
    <w:rsid w:val="00A6463F"/>
    <w:rsid w:val="00A670F7"/>
    <w:rsid w:val="00A6741E"/>
    <w:rsid w:val="00A71FA2"/>
    <w:rsid w:val="00A76B0E"/>
    <w:rsid w:val="00A865DE"/>
    <w:rsid w:val="00A9290E"/>
    <w:rsid w:val="00A956C1"/>
    <w:rsid w:val="00A9706B"/>
    <w:rsid w:val="00AA0995"/>
    <w:rsid w:val="00AA5D16"/>
    <w:rsid w:val="00AA642C"/>
    <w:rsid w:val="00AA755F"/>
    <w:rsid w:val="00AB0718"/>
    <w:rsid w:val="00AB16EA"/>
    <w:rsid w:val="00AB1816"/>
    <w:rsid w:val="00AB3565"/>
    <w:rsid w:val="00AB62F3"/>
    <w:rsid w:val="00AC2585"/>
    <w:rsid w:val="00AC4BBC"/>
    <w:rsid w:val="00AC5BBD"/>
    <w:rsid w:val="00AD3FDE"/>
    <w:rsid w:val="00AD7499"/>
    <w:rsid w:val="00AE340A"/>
    <w:rsid w:val="00AE347F"/>
    <w:rsid w:val="00AF5259"/>
    <w:rsid w:val="00AF614F"/>
    <w:rsid w:val="00AF62B5"/>
    <w:rsid w:val="00B04B0D"/>
    <w:rsid w:val="00B1517E"/>
    <w:rsid w:val="00B20D5A"/>
    <w:rsid w:val="00B254B8"/>
    <w:rsid w:val="00B27C9D"/>
    <w:rsid w:val="00B34AA9"/>
    <w:rsid w:val="00B3589B"/>
    <w:rsid w:val="00B42688"/>
    <w:rsid w:val="00B50AA4"/>
    <w:rsid w:val="00B50B70"/>
    <w:rsid w:val="00B516EA"/>
    <w:rsid w:val="00B55956"/>
    <w:rsid w:val="00B6306E"/>
    <w:rsid w:val="00B636EC"/>
    <w:rsid w:val="00B71471"/>
    <w:rsid w:val="00B735C3"/>
    <w:rsid w:val="00B76180"/>
    <w:rsid w:val="00B8092E"/>
    <w:rsid w:val="00B81D6B"/>
    <w:rsid w:val="00B8469F"/>
    <w:rsid w:val="00B91084"/>
    <w:rsid w:val="00B92052"/>
    <w:rsid w:val="00B94A2D"/>
    <w:rsid w:val="00B955AC"/>
    <w:rsid w:val="00B95882"/>
    <w:rsid w:val="00BA3BCE"/>
    <w:rsid w:val="00BA7680"/>
    <w:rsid w:val="00BB4486"/>
    <w:rsid w:val="00BD1B53"/>
    <w:rsid w:val="00BD496D"/>
    <w:rsid w:val="00BE7869"/>
    <w:rsid w:val="00BF0110"/>
    <w:rsid w:val="00BF0388"/>
    <w:rsid w:val="00BF27F8"/>
    <w:rsid w:val="00BF3CC0"/>
    <w:rsid w:val="00BF4A2C"/>
    <w:rsid w:val="00C01AF3"/>
    <w:rsid w:val="00C02E7B"/>
    <w:rsid w:val="00C04B18"/>
    <w:rsid w:val="00C16AFB"/>
    <w:rsid w:val="00C211F2"/>
    <w:rsid w:val="00C21943"/>
    <w:rsid w:val="00C24AB8"/>
    <w:rsid w:val="00C25B81"/>
    <w:rsid w:val="00C309B5"/>
    <w:rsid w:val="00C35D2D"/>
    <w:rsid w:val="00C3678B"/>
    <w:rsid w:val="00C44DAD"/>
    <w:rsid w:val="00C46DE2"/>
    <w:rsid w:val="00C71C67"/>
    <w:rsid w:val="00C73B66"/>
    <w:rsid w:val="00C7711F"/>
    <w:rsid w:val="00C80A29"/>
    <w:rsid w:val="00C82D71"/>
    <w:rsid w:val="00C84C4A"/>
    <w:rsid w:val="00C86918"/>
    <w:rsid w:val="00C87FAC"/>
    <w:rsid w:val="00C92003"/>
    <w:rsid w:val="00C9399B"/>
    <w:rsid w:val="00CA1135"/>
    <w:rsid w:val="00CA29EC"/>
    <w:rsid w:val="00CA3763"/>
    <w:rsid w:val="00CA5831"/>
    <w:rsid w:val="00CB43A7"/>
    <w:rsid w:val="00CC5C95"/>
    <w:rsid w:val="00CD0803"/>
    <w:rsid w:val="00CD0C3E"/>
    <w:rsid w:val="00CD33E6"/>
    <w:rsid w:val="00CE666B"/>
    <w:rsid w:val="00CF12B3"/>
    <w:rsid w:val="00CF26E7"/>
    <w:rsid w:val="00D0341E"/>
    <w:rsid w:val="00D03983"/>
    <w:rsid w:val="00D07503"/>
    <w:rsid w:val="00D10AE7"/>
    <w:rsid w:val="00D11DD5"/>
    <w:rsid w:val="00D15D64"/>
    <w:rsid w:val="00D16B7D"/>
    <w:rsid w:val="00D16F93"/>
    <w:rsid w:val="00D23403"/>
    <w:rsid w:val="00D3051C"/>
    <w:rsid w:val="00D3089A"/>
    <w:rsid w:val="00D30C2D"/>
    <w:rsid w:val="00D30DD2"/>
    <w:rsid w:val="00D325EA"/>
    <w:rsid w:val="00D34CFB"/>
    <w:rsid w:val="00D407FB"/>
    <w:rsid w:val="00D443C4"/>
    <w:rsid w:val="00D455A6"/>
    <w:rsid w:val="00D51021"/>
    <w:rsid w:val="00D61426"/>
    <w:rsid w:val="00D6372D"/>
    <w:rsid w:val="00D64339"/>
    <w:rsid w:val="00D7068C"/>
    <w:rsid w:val="00D74FB2"/>
    <w:rsid w:val="00D75F0F"/>
    <w:rsid w:val="00D76133"/>
    <w:rsid w:val="00D96EAD"/>
    <w:rsid w:val="00DA40AE"/>
    <w:rsid w:val="00DB2C78"/>
    <w:rsid w:val="00DB2F7C"/>
    <w:rsid w:val="00DB35B2"/>
    <w:rsid w:val="00DC0D64"/>
    <w:rsid w:val="00DC7009"/>
    <w:rsid w:val="00DC7EEA"/>
    <w:rsid w:val="00DD12E9"/>
    <w:rsid w:val="00DE5B28"/>
    <w:rsid w:val="00DF708E"/>
    <w:rsid w:val="00DF7804"/>
    <w:rsid w:val="00E00E46"/>
    <w:rsid w:val="00E02E71"/>
    <w:rsid w:val="00E037CB"/>
    <w:rsid w:val="00E17E95"/>
    <w:rsid w:val="00E21B90"/>
    <w:rsid w:val="00E23A83"/>
    <w:rsid w:val="00E25E18"/>
    <w:rsid w:val="00E31BC1"/>
    <w:rsid w:val="00E33661"/>
    <w:rsid w:val="00E33E37"/>
    <w:rsid w:val="00E372D7"/>
    <w:rsid w:val="00E41AD8"/>
    <w:rsid w:val="00E44CBE"/>
    <w:rsid w:val="00E45972"/>
    <w:rsid w:val="00E66B83"/>
    <w:rsid w:val="00E924C8"/>
    <w:rsid w:val="00EB5713"/>
    <w:rsid w:val="00EC0BF5"/>
    <w:rsid w:val="00EC18E2"/>
    <w:rsid w:val="00EC1FCF"/>
    <w:rsid w:val="00EC36FE"/>
    <w:rsid w:val="00EC3CA2"/>
    <w:rsid w:val="00ED1E9F"/>
    <w:rsid w:val="00ED2D2C"/>
    <w:rsid w:val="00ED639E"/>
    <w:rsid w:val="00EE0320"/>
    <w:rsid w:val="00EE7736"/>
    <w:rsid w:val="00EF1101"/>
    <w:rsid w:val="00EF42F8"/>
    <w:rsid w:val="00EF4B7F"/>
    <w:rsid w:val="00EF5047"/>
    <w:rsid w:val="00EF5321"/>
    <w:rsid w:val="00F13878"/>
    <w:rsid w:val="00F14320"/>
    <w:rsid w:val="00F25DD4"/>
    <w:rsid w:val="00F31D90"/>
    <w:rsid w:val="00F33C87"/>
    <w:rsid w:val="00F35D6B"/>
    <w:rsid w:val="00F42415"/>
    <w:rsid w:val="00F45BB7"/>
    <w:rsid w:val="00F479B3"/>
    <w:rsid w:val="00F505A4"/>
    <w:rsid w:val="00F55E57"/>
    <w:rsid w:val="00F8269A"/>
    <w:rsid w:val="00F91638"/>
    <w:rsid w:val="00F93A05"/>
    <w:rsid w:val="00FA0B17"/>
    <w:rsid w:val="00FB0281"/>
    <w:rsid w:val="00FB0AAD"/>
    <w:rsid w:val="00FC22A2"/>
    <w:rsid w:val="00FC3BE2"/>
    <w:rsid w:val="00FC49FA"/>
    <w:rsid w:val="00FD03D7"/>
    <w:rsid w:val="00FD1C42"/>
    <w:rsid w:val="00FD3C53"/>
    <w:rsid w:val="00FD3FC4"/>
    <w:rsid w:val="00FE105B"/>
    <w:rsid w:val="00FE6A54"/>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 w:type="character" w:styleId="CommentReference">
    <w:name w:val="annotation reference"/>
    <w:basedOn w:val="DefaultParagraphFont"/>
    <w:uiPriority w:val="99"/>
    <w:semiHidden/>
    <w:unhideWhenUsed/>
    <w:rsid w:val="00774B0C"/>
    <w:rPr>
      <w:sz w:val="16"/>
      <w:szCs w:val="16"/>
    </w:rPr>
  </w:style>
  <w:style w:type="paragraph" w:styleId="CommentText">
    <w:name w:val="annotation text"/>
    <w:basedOn w:val="Normal"/>
    <w:link w:val="CommentTextChar"/>
    <w:uiPriority w:val="99"/>
    <w:semiHidden/>
    <w:unhideWhenUsed/>
    <w:rsid w:val="00774B0C"/>
    <w:pPr>
      <w:spacing w:line="240" w:lineRule="auto"/>
    </w:pPr>
    <w:rPr>
      <w:sz w:val="20"/>
      <w:szCs w:val="20"/>
    </w:rPr>
  </w:style>
  <w:style w:type="character" w:customStyle="1" w:styleId="CommentTextChar">
    <w:name w:val="Comment Text Char"/>
    <w:basedOn w:val="DefaultParagraphFont"/>
    <w:link w:val="CommentText"/>
    <w:uiPriority w:val="99"/>
    <w:semiHidden/>
    <w:rsid w:val="00774B0C"/>
    <w:rPr>
      <w:sz w:val="20"/>
      <w:szCs w:val="20"/>
    </w:rPr>
  </w:style>
  <w:style w:type="paragraph" w:styleId="CommentSubject">
    <w:name w:val="annotation subject"/>
    <w:basedOn w:val="CommentText"/>
    <w:next w:val="CommentText"/>
    <w:link w:val="CommentSubjectChar"/>
    <w:uiPriority w:val="99"/>
    <w:semiHidden/>
    <w:unhideWhenUsed/>
    <w:rsid w:val="00774B0C"/>
    <w:rPr>
      <w:b/>
      <w:bCs/>
    </w:rPr>
  </w:style>
  <w:style w:type="character" w:customStyle="1" w:styleId="CommentSubjectChar">
    <w:name w:val="Comment Subject Char"/>
    <w:basedOn w:val="CommentTextChar"/>
    <w:link w:val="CommentSubject"/>
    <w:uiPriority w:val="99"/>
    <w:semiHidden/>
    <w:rsid w:val="0077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692073688">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789515786">
      <w:bodyDiv w:val="1"/>
      <w:marLeft w:val="0"/>
      <w:marRight w:val="0"/>
      <w:marTop w:val="0"/>
      <w:marBottom w:val="0"/>
      <w:divBdr>
        <w:top w:val="none" w:sz="0" w:space="0" w:color="auto"/>
        <w:left w:val="none" w:sz="0" w:space="0" w:color="auto"/>
        <w:bottom w:val="none" w:sz="0" w:space="0" w:color="auto"/>
        <w:right w:val="none" w:sz="0" w:space="0" w:color="auto"/>
      </w:divBdr>
    </w:div>
    <w:div w:id="1072387711">
      <w:bodyDiv w:val="1"/>
      <w:marLeft w:val="0"/>
      <w:marRight w:val="0"/>
      <w:marTop w:val="0"/>
      <w:marBottom w:val="0"/>
      <w:divBdr>
        <w:top w:val="none" w:sz="0" w:space="0" w:color="auto"/>
        <w:left w:val="none" w:sz="0" w:space="0" w:color="auto"/>
        <w:bottom w:val="none" w:sz="0" w:space="0" w:color="auto"/>
        <w:right w:val="none" w:sz="0" w:space="0" w:color="auto"/>
      </w:divBdr>
    </w:div>
    <w:div w:id="1182276320">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3" ma:contentTypeDescription="Create a new document." ma:contentTypeScope="" ma:versionID="8812fb7306160aa92ffc453e0d6fa96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7ba6b4875bc7580d4c4c110f6fc9badc"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A4639-4B74-4C4F-9DCE-15D3A20F9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3.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customXml/itemProps4.xml><?xml version="1.0" encoding="utf-8"?>
<ds:datastoreItem xmlns:ds="http://schemas.openxmlformats.org/officeDocument/2006/customXml" ds:itemID="{C284B69B-9EA1-4247-93DA-8B94DBE53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Iesha People</cp:lastModifiedBy>
  <cp:revision>152</cp:revision>
  <dcterms:created xsi:type="dcterms:W3CDTF">2020-10-22T10:23:00Z</dcterms:created>
  <dcterms:modified xsi:type="dcterms:W3CDTF">2021-07-05T11:57:00Z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