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557C" w14:textId="0EAAABE5" w:rsidR="00CD33E6" w:rsidRDefault="00CD33E6" w:rsidP="00A4652E">
      <w:pPr>
        <w:spacing w:line="360" w:lineRule="auto"/>
        <w:rPr>
          <w:rFonts w:ascii="Arial" w:hAnsi="Arial" w:cs="Arial"/>
          <w:color w:val="757575"/>
          <w:sz w:val="20"/>
          <w:szCs w:val="20"/>
          <w:shd w:val="clear" w:color="auto" w:fill="FFFFFF"/>
        </w:rPr>
      </w:pPr>
      <w:r w:rsidRPr="00C3678B">
        <w:rPr>
          <w:rFonts w:ascii="Helvetica" w:hAnsi="Helvetica" w:cs="Helvetica"/>
          <w:noProof/>
          <w:sz w:val="24"/>
          <w:szCs w:val="24"/>
          <w:lang w:val="en-US"/>
        </w:rPr>
        <mc:AlternateContent>
          <mc:Choice Requires="wps">
            <w:drawing>
              <wp:anchor distT="45720" distB="45720" distL="114300" distR="114300" simplePos="0" relativeHeight="251657728" behindDoc="0" locked="0" layoutInCell="1" allowOverlap="1" wp14:anchorId="452EA4A5" wp14:editId="24156D6A">
                <wp:simplePos x="0" y="0"/>
                <wp:positionH relativeFrom="page">
                  <wp:posOffset>19050</wp:posOffset>
                </wp:positionH>
                <wp:positionV relativeFrom="paragraph">
                  <wp:posOffset>80807</wp:posOffset>
                </wp:positionV>
                <wp:extent cx="7505700" cy="1352550"/>
                <wp:effectExtent l="19050" t="1905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352550"/>
                        </a:xfrm>
                        <a:prstGeom prst="rect">
                          <a:avLst/>
                        </a:prstGeom>
                        <a:solidFill>
                          <a:srgbClr val="002060"/>
                        </a:solidFill>
                        <a:ln w="57150">
                          <a:solidFill>
                            <a:srgbClr val="002060"/>
                          </a:solidFill>
                          <a:miter lim="800000"/>
                          <a:headEnd/>
                          <a:tailEnd/>
                        </a:ln>
                      </wps:spPr>
                      <wps:txb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67B7CF0" w:rsidR="00C3678B" w:rsidRPr="00E45972" w:rsidRDefault="00405D76" w:rsidP="00C3678B">
                            <w:pPr>
                              <w:jc w:val="center"/>
                              <w:rPr>
                                <w:rFonts w:ascii="Georgia" w:hAnsi="Georgia"/>
                                <w:sz w:val="28"/>
                                <w:szCs w:val="28"/>
                              </w:rPr>
                            </w:pPr>
                            <w:r>
                              <w:rPr>
                                <w:rFonts w:ascii="Georgia" w:hAnsi="Georgia"/>
                                <w:sz w:val="28"/>
                                <w:szCs w:val="28"/>
                              </w:rPr>
                              <w:t>4</w:t>
                            </w:r>
                            <w:r w:rsidRPr="00405D76">
                              <w:rPr>
                                <w:rFonts w:ascii="Georgia" w:hAnsi="Georgia"/>
                                <w:sz w:val="28"/>
                                <w:szCs w:val="28"/>
                                <w:vertAlign w:val="superscript"/>
                              </w:rPr>
                              <w:t>th</w:t>
                            </w:r>
                            <w:r>
                              <w:rPr>
                                <w:rFonts w:ascii="Georgia" w:hAnsi="Georgia"/>
                                <w:sz w:val="28"/>
                                <w:szCs w:val="28"/>
                              </w:rPr>
                              <w:t xml:space="preserve"> </w:t>
                            </w:r>
                            <w:r w:rsidR="005E461C">
                              <w:rPr>
                                <w:rFonts w:ascii="Georgia" w:hAnsi="Georgia"/>
                                <w:sz w:val="28"/>
                                <w:szCs w:val="28"/>
                              </w:rPr>
                              <w:t xml:space="preserve">September </w:t>
                            </w:r>
                            <w:r w:rsidR="00C3678B" w:rsidRPr="00E45972">
                              <w:rPr>
                                <w:rFonts w:ascii="Georgia" w:hAnsi="Georgia"/>
                                <w:sz w:val="28"/>
                                <w:szCs w:val="28"/>
                              </w:rPr>
                              <w:t>20</w:t>
                            </w:r>
                            <w:r w:rsidR="00442A99">
                              <w:rPr>
                                <w:rFonts w:ascii="Georgia" w:hAnsi="Georgia"/>
                                <w:sz w:val="28"/>
                                <w:szCs w:val="28"/>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EA4A5" id="_x0000_t202" coordsize="21600,21600" o:spt="202" path="m,l,21600r21600,l21600,xe">
                <v:stroke joinstyle="miter"/>
                <v:path gradientshapeok="t" o:connecttype="rect"/>
              </v:shapetype>
              <v:shape id="Text Box 2" o:spid="_x0000_s1026" type="#_x0000_t202" style="position:absolute;margin-left:1.5pt;margin-top:6.35pt;width:591pt;height:106.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" fillcolor="#002060" strokecolor="#002060" strokeweight="4.5pt">
                <v:textbox>
                  <w:txbxContent>
                    <w:p w14:paraId="088B4B54" w14:textId="33BA4741" w:rsidR="00C3678B" w:rsidRPr="00BD496D" w:rsidRDefault="00C3678B" w:rsidP="00153A8D">
                      <w:pPr>
                        <w:jc w:val="center"/>
                        <w:rPr>
                          <w:rFonts w:ascii="Georgia" w:hAnsi="Georgia"/>
                          <w:b/>
                          <w:bCs/>
                          <w:sz w:val="96"/>
                          <w:szCs w:val="96"/>
                        </w:rPr>
                      </w:pPr>
                      <w:r w:rsidRPr="00BD496D">
                        <w:rPr>
                          <w:rFonts w:ascii="Georgia" w:hAnsi="Georgia"/>
                          <w:b/>
                          <w:bCs/>
                          <w:sz w:val="96"/>
                          <w:szCs w:val="96"/>
                        </w:rPr>
                        <w:t>Pricing Report</w:t>
                      </w:r>
                    </w:p>
                    <w:p w14:paraId="3236417F" w14:textId="767B7CF0" w:rsidR="00C3678B" w:rsidRPr="00E45972" w:rsidRDefault="00405D76" w:rsidP="00C3678B">
                      <w:pPr>
                        <w:jc w:val="center"/>
                        <w:rPr>
                          <w:rFonts w:ascii="Georgia" w:hAnsi="Georgia"/>
                          <w:sz w:val="28"/>
                          <w:szCs w:val="28"/>
                        </w:rPr>
                      </w:pPr>
                      <w:r>
                        <w:rPr>
                          <w:rFonts w:ascii="Georgia" w:hAnsi="Georgia"/>
                          <w:sz w:val="28"/>
                          <w:szCs w:val="28"/>
                        </w:rPr>
                        <w:t>4</w:t>
                      </w:r>
                      <w:r w:rsidRPr="00405D76">
                        <w:rPr>
                          <w:rFonts w:ascii="Georgia" w:hAnsi="Georgia"/>
                          <w:sz w:val="28"/>
                          <w:szCs w:val="28"/>
                          <w:vertAlign w:val="superscript"/>
                        </w:rPr>
                        <w:t>th</w:t>
                      </w:r>
                      <w:r>
                        <w:rPr>
                          <w:rFonts w:ascii="Georgia" w:hAnsi="Georgia"/>
                          <w:sz w:val="28"/>
                          <w:szCs w:val="28"/>
                        </w:rPr>
                        <w:t xml:space="preserve"> </w:t>
                      </w:r>
                      <w:r w:rsidR="005E461C">
                        <w:rPr>
                          <w:rFonts w:ascii="Georgia" w:hAnsi="Georgia"/>
                          <w:sz w:val="28"/>
                          <w:szCs w:val="28"/>
                        </w:rPr>
                        <w:t xml:space="preserve">September </w:t>
                      </w:r>
                      <w:r w:rsidR="00C3678B" w:rsidRPr="00E45972">
                        <w:rPr>
                          <w:rFonts w:ascii="Georgia" w:hAnsi="Georgia"/>
                          <w:sz w:val="28"/>
                          <w:szCs w:val="28"/>
                        </w:rPr>
                        <w:t>20</w:t>
                      </w:r>
                      <w:r w:rsidR="00442A99">
                        <w:rPr>
                          <w:rFonts w:ascii="Georgia" w:hAnsi="Georgia"/>
                          <w:sz w:val="28"/>
                          <w:szCs w:val="28"/>
                        </w:rPr>
                        <w:t>20</w:t>
                      </w:r>
                    </w:p>
                  </w:txbxContent>
                </v:textbox>
                <w10:wrap type="square" anchorx="page"/>
              </v:shape>
            </w:pict>
          </mc:Fallback>
        </mc:AlternateContent>
      </w:r>
    </w:p>
    <w:p w14:paraId="529B7AC2" w14:textId="2E97E70E" w:rsidR="008668AB" w:rsidRDefault="008668AB" w:rsidP="00A4652E">
      <w:pPr>
        <w:spacing w:line="360" w:lineRule="auto"/>
        <w:rPr>
          <w:rFonts w:ascii="Arial" w:hAnsi="Arial" w:cs="Arial"/>
          <w:color w:val="757575"/>
          <w:sz w:val="20"/>
          <w:szCs w:val="20"/>
          <w:shd w:val="clear" w:color="auto" w:fill="FFFFFF"/>
        </w:rPr>
      </w:pPr>
      <w:r w:rsidRPr="008668AB">
        <w:rPr>
          <w:rFonts w:ascii="Arial" w:hAnsi="Arial" w:cs="Arial"/>
          <w:color w:val="757575"/>
          <w:sz w:val="20"/>
          <w:szCs w:val="20"/>
          <w:shd w:val="clear" w:color="auto" w:fill="FFFFFF"/>
        </w:rPr>
        <w:t xml:space="preserve">Energy bills are driven by both the price of energy on the wholesale market and </w:t>
      </w:r>
      <w:r w:rsidR="009574C7" w:rsidRPr="008668AB">
        <w:rPr>
          <w:rFonts w:ascii="Arial" w:hAnsi="Arial" w:cs="Arial"/>
          <w:color w:val="757575"/>
          <w:sz w:val="20"/>
          <w:szCs w:val="20"/>
          <w:shd w:val="clear" w:color="auto" w:fill="FFFFFF"/>
        </w:rPr>
        <w:t>Third-Party</w:t>
      </w:r>
      <w:r w:rsidRPr="008668AB">
        <w:rPr>
          <w:rFonts w:ascii="Arial" w:hAnsi="Arial" w:cs="Arial"/>
          <w:color w:val="757575"/>
          <w:sz w:val="20"/>
          <w:szCs w:val="20"/>
          <w:shd w:val="clear" w:color="auto" w:fill="FFFFFF"/>
        </w:rPr>
        <w:t xml:space="preserve"> Costs (TPCs). TPCs include non-energy costs set by the government, network (the National Grid), policy and system costs and electricity transmission/distribution costs. </w:t>
      </w:r>
    </w:p>
    <w:p w14:paraId="6EA6C30A" w14:textId="14B0C097" w:rsidR="005313F5" w:rsidRPr="005313F5"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The biggest single cost on a bill is the price of the energy. The wholesale cost of the energy makes up approximately 4</w:t>
      </w:r>
      <w:r w:rsidR="00BF0388">
        <w:rPr>
          <w:rFonts w:ascii="Arial" w:hAnsi="Arial" w:cs="Arial"/>
          <w:color w:val="757575"/>
          <w:sz w:val="20"/>
          <w:szCs w:val="20"/>
          <w:shd w:val="clear" w:color="auto" w:fill="FFFFFF"/>
        </w:rPr>
        <w:t>0</w:t>
      </w:r>
      <w:r w:rsidRPr="005313F5">
        <w:rPr>
          <w:rFonts w:ascii="Arial" w:hAnsi="Arial" w:cs="Arial"/>
          <w:color w:val="757575"/>
          <w:sz w:val="20"/>
          <w:szCs w:val="20"/>
          <w:shd w:val="clear" w:color="auto" w:fill="FFFFFF"/>
        </w:rPr>
        <w:t xml:space="preserve">% of </w:t>
      </w:r>
      <w:r w:rsidRPr="00D74FB2">
        <w:rPr>
          <w:rFonts w:ascii="Arial" w:hAnsi="Arial" w:cs="Arial"/>
          <w:color w:val="757575"/>
          <w:sz w:val="20"/>
          <w:szCs w:val="20"/>
          <w:shd w:val="clear" w:color="auto" w:fill="FFFFFF"/>
        </w:rPr>
        <w:t>an electricity</w:t>
      </w:r>
      <w:r w:rsidRPr="005313F5">
        <w:rPr>
          <w:rFonts w:ascii="Arial" w:hAnsi="Arial" w:cs="Arial"/>
          <w:color w:val="757575"/>
          <w:sz w:val="20"/>
          <w:szCs w:val="20"/>
          <w:shd w:val="clear" w:color="auto" w:fill="FFFFFF"/>
        </w:rPr>
        <w:t xml:space="preserve"> bill and </w:t>
      </w:r>
      <w:r w:rsidR="00BF0388">
        <w:rPr>
          <w:rFonts w:ascii="Arial" w:hAnsi="Arial" w:cs="Arial"/>
          <w:color w:val="757575"/>
          <w:sz w:val="20"/>
          <w:szCs w:val="20"/>
          <w:shd w:val="clear" w:color="auto" w:fill="FFFFFF"/>
        </w:rPr>
        <w:t>70</w:t>
      </w:r>
      <w:r w:rsidRPr="005313F5">
        <w:rPr>
          <w:rFonts w:ascii="Arial" w:hAnsi="Arial" w:cs="Arial"/>
          <w:color w:val="757575"/>
          <w:sz w:val="20"/>
          <w:szCs w:val="20"/>
          <w:shd w:val="clear" w:color="auto" w:fill="FFFFFF"/>
        </w:rPr>
        <w:t>% of a gas bill, with the remaining being TPCs, which have been continuously rising in recent years and can be volatile.</w:t>
      </w:r>
    </w:p>
    <w:p w14:paraId="3A1DE9C2" w14:textId="7E14393F" w:rsidR="00696612" w:rsidRDefault="005313F5" w:rsidP="00D74FB2">
      <w:pPr>
        <w:spacing w:before="240" w:after="0" w:line="240" w:lineRule="auto"/>
        <w:rPr>
          <w:rFonts w:ascii="Arial" w:hAnsi="Arial" w:cs="Arial"/>
          <w:color w:val="757575"/>
          <w:sz w:val="20"/>
          <w:szCs w:val="20"/>
          <w:shd w:val="clear" w:color="auto" w:fill="FFFFFF"/>
        </w:rPr>
      </w:pPr>
      <w:r w:rsidRPr="005313F5">
        <w:rPr>
          <w:rFonts w:ascii="Arial" w:hAnsi="Arial" w:cs="Arial"/>
          <w:color w:val="757575"/>
          <w:sz w:val="20"/>
          <w:szCs w:val="20"/>
          <w:shd w:val="clear" w:color="auto" w:fill="FFFFFF"/>
        </w:rPr>
        <w:t>This pricing report focusses on the energy element of a bill to help you keep track and understand the wholesale energy market and the factors affecting the price of your contracts.</w:t>
      </w:r>
    </w:p>
    <w:p w14:paraId="1F8D7F83" w14:textId="4C17264F" w:rsidR="00144F2E" w:rsidRDefault="00144F2E" w:rsidP="00D74FB2">
      <w:pPr>
        <w:spacing w:before="240" w:after="0" w:line="240" w:lineRule="auto"/>
        <w:rPr>
          <w:rFonts w:ascii="Arial" w:hAnsi="Arial" w:cs="Arial"/>
          <w:color w:val="757575"/>
          <w:sz w:val="20"/>
          <w:szCs w:val="20"/>
          <w:shd w:val="clear" w:color="auto" w:fill="FFFFFF"/>
        </w:rPr>
      </w:pPr>
    </w:p>
    <w:p w14:paraId="2F2594B8" w14:textId="77777777" w:rsidR="00540C8E" w:rsidRDefault="00540C8E" w:rsidP="00D74FB2">
      <w:pPr>
        <w:spacing w:before="240" w:after="0" w:line="240" w:lineRule="auto"/>
        <w:rPr>
          <w:rFonts w:ascii="Arial" w:hAnsi="Arial" w:cs="Arial"/>
          <w:color w:val="757575"/>
          <w:sz w:val="20"/>
          <w:szCs w:val="20"/>
          <w:shd w:val="clear" w:color="auto" w:fill="FFFFFF"/>
        </w:rPr>
      </w:pPr>
    </w:p>
    <w:p w14:paraId="122765A6" w14:textId="77777777" w:rsidR="00FF1A79" w:rsidRDefault="00696612" w:rsidP="00FF1A79">
      <w:pPr>
        <w:spacing w:after="0" w:line="240" w:lineRule="auto"/>
        <w:rPr>
          <w:rStyle w:val="Strong"/>
          <w:rFonts w:ascii="Georgia" w:hAnsi="Georgia"/>
          <w:color w:val="ED273E"/>
          <w:sz w:val="27"/>
          <w:szCs w:val="27"/>
          <w:shd w:val="clear" w:color="auto" w:fill="FFFFFF"/>
        </w:rPr>
      </w:pPr>
      <w:r w:rsidRPr="00696612">
        <w:rPr>
          <w:rStyle w:val="Strong"/>
          <w:rFonts w:ascii="Georgia" w:hAnsi="Georgia"/>
          <w:color w:val="ED273E"/>
          <w:sz w:val="27"/>
          <w:szCs w:val="27"/>
          <w:shd w:val="clear" w:color="auto" w:fill="FFFFFF"/>
        </w:rPr>
        <w:t>Ov</w:t>
      </w:r>
      <w:r w:rsidRPr="00FF1A79">
        <w:rPr>
          <w:rStyle w:val="Strong"/>
          <w:rFonts w:ascii="Georgia" w:hAnsi="Georgia"/>
          <w:color w:val="ED273E"/>
          <w:sz w:val="27"/>
          <w:szCs w:val="27"/>
          <w:shd w:val="clear" w:color="auto" w:fill="FFFFFF"/>
        </w:rPr>
        <w:t>ervie</w:t>
      </w:r>
      <w:r w:rsidRPr="00696612">
        <w:rPr>
          <w:rStyle w:val="Strong"/>
          <w:rFonts w:ascii="Georgia" w:hAnsi="Georgia"/>
          <w:color w:val="ED273E"/>
          <w:sz w:val="27"/>
          <w:szCs w:val="27"/>
          <w:shd w:val="clear" w:color="auto" w:fill="FFFFFF"/>
        </w:rPr>
        <w:t>w:</w:t>
      </w:r>
    </w:p>
    <w:p w14:paraId="41B0CC08" w14:textId="77777777"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r w:rsidRPr="009574C7">
        <w:rPr>
          <w:rStyle w:val="Strong"/>
          <w:rFonts w:ascii="Arial" w:hAnsi="Arial" w:cs="Arial"/>
          <w:b w:val="0"/>
          <w:bCs w:val="0"/>
          <w:color w:val="757575"/>
          <w:sz w:val="20"/>
          <w:szCs w:val="20"/>
          <w:shd w:val="clear" w:color="auto" w:fill="FFFFFF"/>
        </w:rPr>
        <w:t>Coronavirus continues to be a large market driver, with easing measures balanced by new cases and enforced localised lockdowns.  </w:t>
      </w:r>
    </w:p>
    <w:p w14:paraId="36903077" w14:textId="77777777"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p>
    <w:p w14:paraId="54A00BBD" w14:textId="77777777"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r w:rsidRPr="009574C7">
        <w:rPr>
          <w:rStyle w:val="Strong"/>
          <w:rFonts w:ascii="Arial" w:hAnsi="Arial" w:cs="Arial"/>
          <w:b w:val="0"/>
          <w:bCs w:val="0"/>
          <w:color w:val="757575"/>
          <w:sz w:val="20"/>
          <w:szCs w:val="20"/>
          <w:shd w:val="clear" w:color="auto" w:fill="FFFFFF"/>
        </w:rPr>
        <w:t>At the beginning of the year, the wholesale price of oil was almost 40% higher than it currently is now, above $60/bbl. In March, as the virus spread and more countries reported cases of infections, the energy market dropped, with Brent dipping below $50/bbl. Come April, as countries went into lockdown with businesses closing and travel restrictions in place, wholesale prices plunged below $20/bbl, hitting an 18-year low.</w:t>
      </w:r>
    </w:p>
    <w:p w14:paraId="1AEF2894" w14:textId="77777777"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p>
    <w:p w14:paraId="63F48437" w14:textId="5B5B786B"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r w:rsidRPr="009574C7">
        <w:rPr>
          <w:rStyle w:val="Strong"/>
          <w:rFonts w:ascii="Arial" w:hAnsi="Arial" w:cs="Arial"/>
          <w:b w:val="0"/>
          <w:bCs w:val="0"/>
          <w:color w:val="757575"/>
          <w:sz w:val="20"/>
          <w:szCs w:val="20"/>
          <w:shd w:val="clear" w:color="auto" w:fill="FFFFFF"/>
        </w:rPr>
        <w:t xml:space="preserve">Now, contract prices are on the rise and are almost back to pre-pandemic levels, as countries continue to handle localised outbreaks along with the introduction of </w:t>
      </w:r>
      <w:r>
        <w:rPr>
          <w:rStyle w:val="Strong"/>
          <w:rFonts w:ascii="Arial" w:hAnsi="Arial" w:cs="Arial"/>
          <w:b w:val="0"/>
          <w:bCs w:val="0"/>
          <w:color w:val="757575"/>
          <w:sz w:val="20"/>
          <w:szCs w:val="20"/>
          <w:shd w:val="clear" w:color="auto" w:fill="FFFFFF"/>
        </w:rPr>
        <w:t>T</w:t>
      </w:r>
      <w:r w:rsidRPr="009574C7">
        <w:rPr>
          <w:rStyle w:val="Strong"/>
          <w:rFonts w:ascii="Arial" w:hAnsi="Arial" w:cs="Arial"/>
          <w:b w:val="0"/>
          <w:bCs w:val="0"/>
          <w:color w:val="757575"/>
          <w:sz w:val="20"/>
          <w:szCs w:val="20"/>
          <w:shd w:val="clear" w:color="auto" w:fill="FFFFFF"/>
        </w:rPr>
        <w:t>hird-</w:t>
      </w:r>
      <w:r>
        <w:rPr>
          <w:rStyle w:val="Strong"/>
          <w:rFonts w:ascii="Arial" w:hAnsi="Arial" w:cs="Arial"/>
          <w:b w:val="0"/>
          <w:bCs w:val="0"/>
          <w:color w:val="757575"/>
          <w:sz w:val="20"/>
          <w:szCs w:val="20"/>
          <w:shd w:val="clear" w:color="auto" w:fill="FFFFFF"/>
        </w:rPr>
        <w:t>P</w:t>
      </w:r>
      <w:r w:rsidRPr="009574C7">
        <w:rPr>
          <w:rStyle w:val="Strong"/>
          <w:rFonts w:ascii="Arial" w:hAnsi="Arial" w:cs="Arial"/>
          <w:b w:val="0"/>
          <w:bCs w:val="0"/>
          <w:color w:val="757575"/>
          <w:sz w:val="20"/>
          <w:szCs w:val="20"/>
          <w:shd w:val="clear" w:color="auto" w:fill="FFFFFF"/>
        </w:rPr>
        <w:t>arty</w:t>
      </w:r>
      <w:r w:rsidRPr="009574C7">
        <w:rPr>
          <w:rStyle w:val="Strong"/>
          <w:rFonts w:ascii="Arial" w:hAnsi="Arial" w:cs="Arial"/>
          <w:b w:val="0"/>
          <w:bCs w:val="0"/>
          <w:color w:val="757575"/>
          <w:sz w:val="20"/>
          <w:szCs w:val="20"/>
          <w:shd w:val="clear" w:color="auto" w:fill="FFFFFF"/>
        </w:rPr>
        <w:t xml:space="preserve"> charges to balance the costs for suppliers.</w:t>
      </w:r>
    </w:p>
    <w:p w14:paraId="368112A4" w14:textId="77777777" w:rsidR="009574C7" w:rsidRPr="009574C7" w:rsidRDefault="009574C7" w:rsidP="009574C7">
      <w:pPr>
        <w:spacing w:after="0" w:line="240" w:lineRule="auto"/>
        <w:rPr>
          <w:rStyle w:val="Strong"/>
          <w:rFonts w:ascii="Arial" w:hAnsi="Arial" w:cs="Arial"/>
          <w:b w:val="0"/>
          <w:bCs w:val="0"/>
          <w:color w:val="757575"/>
          <w:sz w:val="20"/>
          <w:szCs w:val="20"/>
          <w:shd w:val="clear" w:color="auto" w:fill="FFFFFF"/>
        </w:rPr>
      </w:pPr>
    </w:p>
    <w:p w14:paraId="48459594" w14:textId="10B4DD32" w:rsidR="00656B76" w:rsidRDefault="009574C7" w:rsidP="009574C7">
      <w:pPr>
        <w:spacing w:after="0" w:line="240" w:lineRule="auto"/>
        <w:rPr>
          <w:rStyle w:val="Strong"/>
          <w:rFonts w:ascii="Arial" w:hAnsi="Arial" w:cs="Arial"/>
          <w:color w:val="757575"/>
          <w:sz w:val="20"/>
          <w:szCs w:val="20"/>
          <w:shd w:val="clear" w:color="auto" w:fill="FFFFFF"/>
        </w:rPr>
      </w:pPr>
      <w:r w:rsidRPr="009574C7">
        <w:rPr>
          <w:rStyle w:val="Strong"/>
          <w:rFonts w:ascii="Arial" w:hAnsi="Arial" w:cs="Arial"/>
          <w:b w:val="0"/>
          <w:bCs w:val="0"/>
          <w:color w:val="757575"/>
          <w:sz w:val="20"/>
          <w:szCs w:val="20"/>
          <w:shd w:val="clear" w:color="auto" w:fill="FFFFFF"/>
        </w:rPr>
        <w:t>Understanding your energy bills and searching the market for the best tariff when it comes to business energy can be complex and confusing, especially compared to searching for a domestic deal. We can help to remove this arduous task to save you time, stress and possibly money on your energy bills. All we need to run a free, no-obligation review of your energy is a copy of your latest bills. </w:t>
      </w:r>
      <w:r w:rsidR="00BF0388" w:rsidRPr="00BF0388">
        <w:rPr>
          <w:rStyle w:val="Strong"/>
          <w:rFonts w:ascii="Arial" w:hAnsi="Arial" w:cs="Arial"/>
          <w:b w:val="0"/>
          <w:bCs w:val="0"/>
          <w:color w:val="757575"/>
          <w:sz w:val="20"/>
          <w:szCs w:val="20"/>
          <w:shd w:val="clear" w:color="auto" w:fill="FFFFFF"/>
        </w:rPr>
        <w:t>on your business. All we need to run a free, no-obligation review of your energy is a copy of a latest bill. </w:t>
      </w:r>
    </w:p>
    <w:p w14:paraId="719EDE95" w14:textId="77777777" w:rsidR="00656B76" w:rsidRDefault="00656B76" w:rsidP="00B516EA">
      <w:pPr>
        <w:spacing w:after="0" w:line="240" w:lineRule="auto"/>
        <w:rPr>
          <w:rStyle w:val="Strong"/>
          <w:rFonts w:ascii="Arial" w:hAnsi="Arial" w:cs="Arial"/>
          <w:color w:val="757575"/>
          <w:sz w:val="20"/>
          <w:szCs w:val="20"/>
          <w:shd w:val="clear" w:color="auto" w:fill="FFFFFF"/>
        </w:rPr>
      </w:pPr>
    </w:p>
    <w:p w14:paraId="6D7355E2" w14:textId="11077131" w:rsidR="0040111A" w:rsidRPr="0040111A" w:rsidRDefault="0040111A" w:rsidP="0040111A">
      <w:pPr>
        <w:spacing w:after="0" w:line="240" w:lineRule="auto"/>
        <w:rPr>
          <w:rStyle w:val="Strong"/>
          <w:rFonts w:ascii="Arial" w:hAnsi="Arial" w:cs="Arial"/>
          <w:color w:val="757575"/>
          <w:sz w:val="20"/>
          <w:szCs w:val="20"/>
          <w:shd w:val="clear" w:color="auto" w:fill="FFFFFF"/>
        </w:rPr>
      </w:pPr>
      <w:r w:rsidRPr="0040111A">
        <w:rPr>
          <w:rStyle w:val="Strong"/>
          <w:rFonts w:ascii="Arial" w:hAnsi="Arial" w:cs="Arial"/>
          <w:color w:val="757575"/>
          <w:sz w:val="20"/>
          <w:szCs w:val="20"/>
          <w:shd w:val="clear" w:color="auto" w:fill="FFFFFF"/>
        </w:rPr>
        <w:t>Bullish Factors (</w:t>
      </w:r>
      <w:r w:rsidRPr="0040111A">
        <w:rPr>
          <w:rStyle w:val="Strong"/>
          <w:rFonts w:ascii="Arial" w:hAnsi="Arial" w:cs="Arial"/>
          <w:i/>
          <w:iCs/>
          <w:color w:val="ED7D31" w:themeColor="accent2"/>
          <w:sz w:val="20"/>
          <w:szCs w:val="20"/>
          <w:shd w:val="clear" w:color="auto" w:fill="FFFFFF"/>
        </w:rPr>
        <w:t>upward</w:t>
      </w:r>
      <w:r w:rsidRPr="0040111A">
        <w:rPr>
          <w:rStyle w:val="Strong"/>
          <w:rFonts w:ascii="Arial" w:hAnsi="Arial" w:cs="Arial"/>
          <w:i/>
          <w:iCs/>
          <w:color w:val="757575"/>
          <w:sz w:val="20"/>
          <w:szCs w:val="20"/>
          <w:shd w:val="clear" w:color="auto" w:fill="FFFFFF"/>
        </w:rPr>
        <w:t> pressure</w:t>
      </w:r>
      <w:r w:rsidRPr="0040111A">
        <w:rPr>
          <w:rStyle w:val="Strong"/>
          <w:rFonts w:ascii="Arial" w:hAnsi="Arial" w:cs="Arial"/>
          <w:color w:val="757575"/>
          <w:sz w:val="20"/>
          <w:szCs w:val="20"/>
          <w:shd w:val="clear" w:color="auto" w:fill="FFFFFF"/>
        </w:rPr>
        <w:t>):</w:t>
      </w:r>
    </w:p>
    <w:p w14:paraId="2F788081" w14:textId="77777777" w:rsidR="006375BC" w:rsidRPr="006375BC" w:rsidRDefault="006375BC" w:rsidP="006375BC">
      <w:pPr>
        <w:pStyle w:val="ListParagraph"/>
        <w:numPr>
          <w:ilvl w:val="0"/>
          <w:numId w:val="14"/>
        </w:numPr>
        <w:spacing w:after="0" w:line="240" w:lineRule="auto"/>
        <w:rPr>
          <w:rStyle w:val="Strong"/>
          <w:rFonts w:ascii="Arial" w:hAnsi="Arial" w:cs="Arial"/>
          <w:b w:val="0"/>
          <w:bCs w:val="0"/>
          <w:color w:val="757575"/>
          <w:sz w:val="20"/>
          <w:szCs w:val="20"/>
          <w:shd w:val="clear" w:color="auto" w:fill="FFFFFF"/>
        </w:rPr>
      </w:pPr>
      <w:r w:rsidRPr="006375BC">
        <w:rPr>
          <w:rStyle w:val="Strong"/>
          <w:rFonts w:ascii="Arial" w:hAnsi="Arial" w:cs="Arial"/>
          <w:b w:val="0"/>
          <w:bCs w:val="0"/>
          <w:color w:val="757575"/>
          <w:sz w:val="20"/>
          <w:szCs w:val="20"/>
          <w:shd w:val="clear" w:color="auto" w:fill="FFFFFF"/>
        </w:rPr>
        <w:t>Positive Chinese manufacturing data, supporting indications of a recovery. </w:t>
      </w:r>
    </w:p>
    <w:p w14:paraId="3CE695FA" w14:textId="77777777" w:rsidR="006375BC" w:rsidRPr="006375BC" w:rsidRDefault="006375BC" w:rsidP="006375BC">
      <w:pPr>
        <w:pStyle w:val="ListParagraph"/>
        <w:numPr>
          <w:ilvl w:val="0"/>
          <w:numId w:val="14"/>
        </w:numPr>
        <w:spacing w:after="0" w:line="240" w:lineRule="auto"/>
        <w:rPr>
          <w:rStyle w:val="Strong"/>
          <w:rFonts w:ascii="Arial" w:hAnsi="Arial" w:cs="Arial"/>
          <w:b w:val="0"/>
          <w:bCs w:val="0"/>
          <w:color w:val="757575"/>
          <w:sz w:val="20"/>
          <w:szCs w:val="20"/>
          <w:shd w:val="clear" w:color="auto" w:fill="FFFFFF"/>
        </w:rPr>
      </w:pPr>
      <w:r w:rsidRPr="006375BC">
        <w:rPr>
          <w:rStyle w:val="Strong"/>
          <w:rFonts w:ascii="Arial" w:hAnsi="Arial" w:cs="Arial"/>
          <w:b w:val="0"/>
          <w:bCs w:val="0"/>
          <w:color w:val="757575"/>
          <w:sz w:val="20"/>
          <w:szCs w:val="20"/>
          <w:shd w:val="clear" w:color="auto" w:fill="FFFFFF"/>
        </w:rPr>
        <w:t>Increasing demand and further planned Norwegian production outages.</w:t>
      </w:r>
    </w:p>
    <w:p w14:paraId="75146BBD" w14:textId="77777777" w:rsidR="006375BC" w:rsidRPr="006375BC" w:rsidRDefault="006375BC" w:rsidP="006375BC">
      <w:pPr>
        <w:pStyle w:val="ListParagraph"/>
        <w:numPr>
          <w:ilvl w:val="0"/>
          <w:numId w:val="14"/>
        </w:numPr>
        <w:spacing w:after="0" w:line="240" w:lineRule="auto"/>
        <w:rPr>
          <w:rStyle w:val="Strong"/>
          <w:rFonts w:ascii="Arial" w:hAnsi="Arial" w:cs="Arial"/>
          <w:b w:val="0"/>
          <w:bCs w:val="0"/>
          <w:color w:val="757575"/>
          <w:sz w:val="20"/>
          <w:szCs w:val="20"/>
          <w:shd w:val="clear" w:color="auto" w:fill="FFFFFF"/>
        </w:rPr>
      </w:pPr>
      <w:r w:rsidRPr="006375BC">
        <w:rPr>
          <w:rStyle w:val="Strong"/>
          <w:rFonts w:ascii="Arial" w:hAnsi="Arial" w:cs="Arial"/>
          <w:b w:val="0"/>
          <w:bCs w:val="0"/>
          <w:color w:val="757575"/>
          <w:sz w:val="20"/>
          <w:szCs w:val="20"/>
          <w:shd w:val="clear" w:color="auto" w:fill="FFFFFF"/>
        </w:rPr>
        <w:t>Unplanned maintenance at a Shell gas terminal.</w:t>
      </w:r>
    </w:p>
    <w:p w14:paraId="127D4A52" w14:textId="6D27E246" w:rsidR="00EE7736" w:rsidRPr="006375BC" w:rsidRDefault="006375BC" w:rsidP="006375BC">
      <w:pPr>
        <w:pStyle w:val="ListParagraph"/>
        <w:numPr>
          <w:ilvl w:val="0"/>
          <w:numId w:val="14"/>
        </w:numPr>
        <w:spacing w:after="0" w:line="240" w:lineRule="auto"/>
        <w:rPr>
          <w:rStyle w:val="Strong"/>
          <w:rFonts w:ascii="Arial" w:hAnsi="Arial" w:cs="Arial"/>
          <w:b w:val="0"/>
          <w:bCs w:val="0"/>
          <w:color w:val="757575"/>
          <w:sz w:val="20"/>
          <w:szCs w:val="20"/>
          <w:shd w:val="clear" w:color="auto" w:fill="FFFFFF"/>
        </w:rPr>
      </w:pPr>
      <w:r w:rsidRPr="006375BC">
        <w:rPr>
          <w:rStyle w:val="Strong"/>
          <w:rFonts w:ascii="Arial" w:hAnsi="Arial" w:cs="Arial"/>
          <w:b w:val="0"/>
          <w:bCs w:val="0"/>
          <w:color w:val="757575"/>
          <w:sz w:val="20"/>
          <w:szCs w:val="20"/>
          <w:shd w:val="clear" w:color="auto" w:fill="FFFFFF"/>
        </w:rPr>
        <w:t>Pound sterling hitting a 3-month high, up a quarter of a per cent against the Euro and Dollar.</w:t>
      </w:r>
    </w:p>
    <w:p w14:paraId="2E209BC1" w14:textId="77777777" w:rsidR="006375BC" w:rsidRDefault="006375BC" w:rsidP="006375BC">
      <w:pPr>
        <w:spacing w:after="0" w:line="240" w:lineRule="auto"/>
        <w:rPr>
          <w:rStyle w:val="Strong"/>
          <w:rFonts w:ascii="Arial" w:hAnsi="Arial" w:cs="Arial"/>
          <w:color w:val="757575"/>
          <w:sz w:val="20"/>
          <w:szCs w:val="20"/>
          <w:shd w:val="clear" w:color="auto" w:fill="FFFFFF"/>
        </w:rPr>
      </w:pPr>
    </w:p>
    <w:p w14:paraId="51549132" w14:textId="59619C80" w:rsidR="001A55DA" w:rsidRPr="00022632" w:rsidRDefault="001A55DA" w:rsidP="0040111A">
      <w:pPr>
        <w:spacing w:after="0" w:line="240" w:lineRule="auto"/>
        <w:rPr>
          <w:rStyle w:val="Strong"/>
          <w:rFonts w:ascii="Arial" w:hAnsi="Arial" w:cs="Arial"/>
          <w:color w:val="757575"/>
          <w:sz w:val="20"/>
          <w:szCs w:val="20"/>
          <w:shd w:val="clear" w:color="auto" w:fill="FFFFFF"/>
        </w:rPr>
      </w:pPr>
      <w:r w:rsidRPr="00022632">
        <w:rPr>
          <w:rStyle w:val="Strong"/>
          <w:rFonts w:ascii="Arial" w:hAnsi="Arial" w:cs="Arial"/>
          <w:color w:val="757575"/>
          <w:sz w:val="20"/>
          <w:szCs w:val="20"/>
          <w:shd w:val="clear" w:color="auto" w:fill="FFFFFF"/>
        </w:rPr>
        <w:t xml:space="preserve">Bearish Factors </w:t>
      </w:r>
      <w:r w:rsidRPr="00B516EA">
        <w:rPr>
          <w:rStyle w:val="Strong"/>
          <w:rFonts w:ascii="Arial" w:hAnsi="Arial" w:cs="Arial"/>
          <w:i/>
          <w:iCs/>
          <w:color w:val="757575"/>
          <w:sz w:val="20"/>
          <w:szCs w:val="20"/>
          <w:shd w:val="clear" w:color="auto" w:fill="FFFFFF"/>
        </w:rPr>
        <w:t>(</w:t>
      </w:r>
      <w:r w:rsidRPr="00B516EA">
        <w:rPr>
          <w:rStyle w:val="Strong"/>
          <w:rFonts w:ascii="Arial" w:hAnsi="Arial" w:cs="Arial"/>
          <w:i/>
          <w:iCs/>
          <w:color w:val="70AD47" w:themeColor="accent6"/>
          <w:sz w:val="20"/>
          <w:szCs w:val="20"/>
          <w:shd w:val="clear" w:color="auto" w:fill="FFFFFF"/>
        </w:rPr>
        <w:t>downwards</w:t>
      </w:r>
      <w:r w:rsidRPr="00B516EA">
        <w:rPr>
          <w:rStyle w:val="Strong"/>
          <w:rFonts w:ascii="Arial" w:hAnsi="Arial" w:cs="Arial"/>
          <w:i/>
          <w:iCs/>
          <w:color w:val="757575"/>
          <w:sz w:val="20"/>
          <w:szCs w:val="20"/>
          <w:shd w:val="clear" w:color="auto" w:fill="FFFFFF"/>
        </w:rPr>
        <w:t xml:space="preserve"> pressure):</w:t>
      </w:r>
    </w:p>
    <w:p w14:paraId="7B2E59DB" w14:textId="30FED8E4" w:rsidR="00244253" w:rsidRPr="00244253" w:rsidRDefault="00244253" w:rsidP="00244253">
      <w:pPr>
        <w:spacing w:after="0"/>
        <w:rPr>
          <w:rStyle w:val="Strong"/>
          <w:rFonts w:ascii="Arial" w:hAnsi="Arial" w:cs="Arial"/>
          <w:b w:val="0"/>
          <w:bCs w:val="0"/>
          <w:color w:val="757575"/>
          <w:sz w:val="20"/>
          <w:szCs w:val="20"/>
          <w:shd w:val="clear" w:color="auto" w:fill="FFFFFF"/>
        </w:rPr>
      </w:pPr>
      <w:r w:rsidRPr="00244253">
        <w:rPr>
          <w:rStyle w:val="Strong"/>
          <w:rFonts w:ascii="Arial" w:hAnsi="Arial" w:cs="Arial"/>
          <w:b w:val="0"/>
          <w:bCs w:val="0"/>
          <w:color w:val="757575"/>
          <w:sz w:val="20"/>
          <w:szCs w:val="20"/>
          <w:shd w:val="clear" w:color="auto" w:fill="FFFFFF"/>
        </w:rPr>
        <w:t>OPEC member countries increasing production</w:t>
      </w:r>
      <w:r w:rsidR="002C2C01">
        <w:rPr>
          <w:rStyle w:val="Strong"/>
          <w:rFonts w:ascii="Arial" w:hAnsi="Arial" w:cs="Arial"/>
          <w:b w:val="0"/>
          <w:bCs w:val="0"/>
          <w:color w:val="757575"/>
          <w:sz w:val="20"/>
          <w:szCs w:val="20"/>
          <w:shd w:val="clear" w:color="auto" w:fill="FFFFFF"/>
        </w:rPr>
        <w:t xml:space="preserve"> levels.</w:t>
      </w:r>
    </w:p>
    <w:p w14:paraId="3C3A330D" w14:textId="77777777" w:rsidR="00244253" w:rsidRPr="00244253" w:rsidRDefault="00244253" w:rsidP="00244253">
      <w:pPr>
        <w:spacing w:after="0"/>
        <w:rPr>
          <w:rStyle w:val="Strong"/>
          <w:rFonts w:ascii="Arial" w:hAnsi="Arial" w:cs="Arial"/>
          <w:b w:val="0"/>
          <w:bCs w:val="0"/>
          <w:color w:val="757575"/>
          <w:sz w:val="20"/>
          <w:szCs w:val="20"/>
          <w:shd w:val="clear" w:color="auto" w:fill="FFFFFF"/>
        </w:rPr>
      </w:pPr>
      <w:r w:rsidRPr="00244253">
        <w:rPr>
          <w:rStyle w:val="Strong"/>
          <w:rFonts w:ascii="Arial" w:hAnsi="Arial" w:cs="Arial"/>
          <w:b w:val="0"/>
          <w:bCs w:val="0"/>
          <w:color w:val="757575"/>
          <w:sz w:val="20"/>
          <w:szCs w:val="20"/>
          <w:shd w:val="clear" w:color="auto" w:fill="FFFFFF"/>
        </w:rPr>
        <w:t>Surges of new coronavirus cases, resulting in countries being removed from the travel corridor list.</w:t>
      </w:r>
    </w:p>
    <w:p w14:paraId="2CD7F44B" w14:textId="5C62B11D" w:rsidR="0024631E" w:rsidRDefault="00244253" w:rsidP="00244253">
      <w:pPr>
        <w:spacing w:after="0"/>
        <w:rPr>
          <w:rStyle w:val="Strong"/>
          <w:rFonts w:ascii="Georgia" w:hAnsi="Georgia"/>
          <w:color w:val="ED273E"/>
          <w:sz w:val="27"/>
          <w:szCs w:val="27"/>
          <w:shd w:val="clear" w:color="auto" w:fill="FFFFFF"/>
        </w:rPr>
      </w:pPr>
      <w:r w:rsidRPr="00244253">
        <w:rPr>
          <w:rStyle w:val="Strong"/>
          <w:rFonts w:ascii="Arial" w:hAnsi="Arial" w:cs="Arial"/>
          <w:b w:val="0"/>
          <w:bCs w:val="0"/>
          <w:color w:val="757575"/>
          <w:sz w:val="20"/>
          <w:szCs w:val="20"/>
          <w:shd w:val="clear" w:color="auto" w:fill="FFFFFF"/>
        </w:rPr>
        <w:t>Increase in wind generation meeting more of the UK's energy demand.</w:t>
      </w:r>
    </w:p>
    <w:p w14:paraId="46713902" w14:textId="2449E292" w:rsidR="00DC7EEA" w:rsidRPr="006E0762" w:rsidRDefault="0070183E" w:rsidP="0096649F">
      <w:pPr>
        <w:spacing w:after="0"/>
        <w:rPr>
          <w:rFonts w:ascii="Georgia" w:hAnsi="Georgia"/>
          <w:b/>
          <w:bCs/>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82304" behindDoc="0" locked="0" layoutInCell="1" allowOverlap="1" wp14:anchorId="0CF02B36" wp14:editId="2A8D060F">
                <wp:simplePos x="0" y="0"/>
                <wp:positionH relativeFrom="margin">
                  <wp:posOffset>16510</wp:posOffset>
                </wp:positionH>
                <wp:positionV relativeFrom="paragraph">
                  <wp:posOffset>19088</wp:posOffset>
                </wp:positionV>
                <wp:extent cx="5917565" cy="1046480"/>
                <wp:effectExtent l="19050" t="19050" r="45085" b="393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046480"/>
                        </a:xfrm>
                        <a:prstGeom prst="rect">
                          <a:avLst/>
                        </a:prstGeom>
                        <a:solidFill>
                          <a:srgbClr val="002060"/>
                        </a:solidFill>
                        <a:ln w="57150">
                          <a:solidFill>
                            <a:srgbClr val="002060"/>
                          </a:solidFill>
                          <a:miter lim="800000"/>
                          <a:headEnd/>
                          <a:tailEnd/>
                        </a:ln>
                      </wps:spPr>
                      <wps:txbx>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F02B36" id="_x0000_s1027" type="#_x0000_t202" style="position:absolute;margin-left:1.3pt;margin-top:1.5pt;width:465.95pt;height:82.4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" fillcolor="#002060" strokecolor="#002060" strokeweight="4.5pt">
                <v:textbox inset="20mm,,20mm">
                  <w:txbxContent>
                    <w:p w14:paraId="2878FAA0" w14:textId="04C6CE74" w:rsidR="006E0762" w:rsidRPr="006E0762" w:rsidRDefault="006E0762" w:rsidP="006E0762">
                      <w:pPr>
                        <w:jc w:val="center"/>
                        <w:rPr>
                          <w:b/>
                          <w:bCs/>
                          <w:sz w:val="72"/>
                          <w:szCs w:val="72"/>
                          <w:lang w:val="en-US"/>
                        </w:rPr>
                      </w:pPr>
                      <w:r w:rsidRPr="006E0762">
                        <w:rPr>
                          <w:b/>
                          <w:bCs/>
                          <w:sz w:val="72"/>
                          <w:szCs w:val="72"/>
                          <w:lang w:val="en-US"/>
                        </w:rPr>
                        <w:t>MARKET REPORT</w:t>
                      </w:r>
                    </w:p>
                  </w:txbxContent>
                </v:textbox>
                <w10:wrap type="topAndBottom" anchorx="margin"/>
              </v:shape>
            </w:pict>
          </mc:Fallback>
        </mc:AlternateContent>
      </w:r>
      <w:r w:rsidR="0096649F">
        <w:rPr>
          <w:rStyle w:val="Strong"/>
          <w:rFonts w:ascii="Georgia" w:hAnsi="Georgia"/>
          <w:color w:val="ED273E"/>
          <w:sz w:val="27"/>
          <w:szCs w:val="27"/>
          <w:shd w:val="clear" w:color="auto" w:fill="FFFFFF"/>
        </w:rPr>
        <w:t>G</w:t>
      </w:r>
      <w:r w:rsidR="00EF42F8">
        <w:rPr>
          <w:rStyle w:val="Strong"/>
          <w:rFonts w:ascii="Georgia" w:hAnsi="Georgia"/>
          <w:color w:val="ED273E"/>
          <w:sz w:val="27"/>
          <w:szCs w:val="27"/>
          <w:shd w:val="clear" w:color="auto" w:fill="FFFFFF"/>
        </w:rPr>
        <w:t xml:space="preserve">as and </w:t>
      </w:r>
      <w:r w:rsidR="002C2C01">
        <w:rPr>
          <w:rStyle w:val="Strong"/>
          <w:rFonts w:ascii="Georgia" w:hAnsi="Georgia"/>
          <w:color w:val="ED273E"/>
          <w:sz w:val="27"/>
          <w:szCs w:val="27"/>
          <w:shd w:val="clear" w:color="auto" w:fill="FFFFFF"/>
        </w:rPr>
        <w:t>Electricity</w:t>
      </w:r>
    </w:p>
    <w:p w14:paraId="096395BB" w14:textId="71C7ACAD" w:rsidR="0070183E" w:rsidRPr="0070183E" w:rsidRDefault="0070183E" w:rsidP="0070183E">
      <w:pPr>
        <w:spacing w:after="0" w:line="276" w:lineRule="auto"/>
        <w:rPr>
          <w:rFonts w:ascii="Arial" w:hAnsi="Arial" w:cs="Arial"/>
          <w:color w:val="757575"/>
          <w:sz w:val="20"/>
          <w:szCs w:val="20"/>
          <w:shd w:val="clear" w:color="auto" w:fill="FFFFFF"/>
        </w:rPr>
      </w:pPr>
      <w:r w:rsidRPr="0070183E">
        <w:rPr>
          <w:rFonts w:ascii="Arial" w:hAnsi="Arial" w:cs="Arial"/>
          <w:color w:val="757575"/>
          <w:sz w:val="20"/>
          <w:szCs w:val="20"/>
          <w:shd w:val="clear" w:color="auto" w:fill="FFFFFF"/>
        </w:rPr>
        <w:t>There was unplanned maintenance over the weekend at one of the Shell terminals which flows gas into the UK via the St Fergus terminal, which attributed to the increase in gas prices on Tuesday morning. This was short-lived though, with the work being completed on Wednesday.</w:t>
      </w:r>
    </w:p>
    <w:p w14:paraId="4C73CB0C" w14:textId="3D34795B" w:rsidR="0070183E" w:rsidRPr="0070183E" w:rsidRDefault="0070183E" w:rsidP="0070183E">
      <w:pPr>
        <w:spacing w:after="0" w:line="276" w:lineRule="auto"/>
        <w:rPr>
          <w:rFonts w:ascii="Arial" w:hAnsi="Arial" w:cs="Arial"/>
          <w:color w:val="757575"/>
          <w:sz w:val="20"/>
          <w:szCs w:val="20"/>
          <w:shd w:val="clear" w:color="auto" w:fill="FFFFFF"/>
        </w:rPr>
      </w:pPr>
    </w:p>
    <w:p w14:paraId="3A82415C" w14:textId="4CA27F03" w:rsidR="00C87FAC" w:rsidRDefault="0070183E" w:rsidP="0070183E">
      <w:pPr>
        <w:spacing w:after="0" w:line="276" w:lineRule="auto"/>
        <w:rPr>
          <w:rFonts w:ascii="Arial" w:hAnsi="Arial" w:cs="Arial"/>
          <w:color w:val="757575"/>
          <w:sz w:val="20"/>
          <w:szCs w:val="20"/>
          <w:shd w:val="clear" w:color="auto" w:fill="FFFFFF"/>
        </w:rPr>
      </w:pPr>
      <w:r>
        <w:rPr>
          <w:rFonts w:ascii="Georgia" w:hAnsi="Georgia"/>
          <w:b/>
          <w:bCs/>
          <w:noProof/>
          <w:color w:val="ED273E"/>
          <w:sz w:val="27"/>
          <w:szCs w:val="27"/>
          <w:shd w:val="clear" w:color="auto" w:fill="FFFFFF"/>
        </w:rPr>
        <w:drawing>
          <wp:anchor distT="0" distB="0" distL="114300" distR="114300" simplePos="0" relativeHeight="251693568" behindDoc="0" locked="0" layoutInCell="1" allowOverlap="1" wp14:anchorId="49CA05C8" wp14:editId="2A92F16E">
            <wp:simplePos x="0" y="0"/>
            <wp:positionH relativeFrom="margin">
              <wp:align>center</wp:align>
            </wp:positionH>
            <wp:positionV relativeFrom="paragraph">
              <wp:posOffset>556260</wp:posOffset>
            </wp:positionV>
            <wp:extent cx="5420360" cy="2961005"/>
            <wp:effectExtent l="0" t="0" r="889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20360" cy="2961005"/>
                    </a:xfrm>
                    <a:prstGeom prst="rect">
                      <a:avLst/>
                    </a:prstGeom>
                  </pic:spPr>
                </pic:pic>
              </a:graphicData>
            </a:graphic>
            <wp14:sizeRelH relativeFrom="page">
              <wp14:pctWidth>0</wp14:pctWidth>
            </wp14:sizeRelH>
            <wp14:sizeRelV relativeFrom="page">
              <wp14:pctHeight>0</wp14:pctHeight>
            </wp14:sizeRelV>
          </wp:anchor>
        </w:drawing>
      </w:r>
      <w:r w:rsidRPr="0070183E">
        <w:rPr>
          <w:rFonts w:ascii="Arial" w:hAnsi="Arial" w:cs="Arial"/>
          <w:color w:val="757575"/>
          <w:sz w:val="20"/>
          <w:szCs w:val="20"/>
          <w:shd w:val="clear" w:color="auto" w:fill="FFFFFF"/>
        </w:rPr>
        <w:t>Both electricity and gas prices have decreased slightly in the week, as wind generation increased and met more of the UK's energy demand, requiring less reliance on burning oil for energy. However, stronger trading within the wider commodities has pushed contract prices higher today.</w:t>
      </w:r>
    </w:p>
    <w:p w14:paraId="0B54CF1A" w14:textId="5D0E6DC0" w:rsidR="00026DC9" w:rsidRDefault="00026DC9" w:rsidP="00893397">
      <w:pPr>
        <w:spacing w:after="0" w:line="276" w:lineRule="auto"/>
        <w:rPr>
          <w:rStyle w:val="Strong"/>
          <w:rFonts w:ascii="Georgia" w:hAnsi="Georgia"/>
          <w:color w:val="ED273E"/>
          <w:sz w:val="27"/>
          <w:szCs w:val="27"/>
          <w:shd w:val="clear" w:color="auto" w:fill="FFFFFF"/>
        </w:rPr>
      </w:pPr>
    </w:p>
    <w:p w14:paraId="01B3AD65" w14:textId="06762CB5" w:rsidR="00A6741E" w:rsidRPr="00A6741E" w:rsidRDefault="00AE340A" w:rsidP="00A6741E">
      <w:pPr>
        <w:spacing w:after="0" w:line="276" w:lineRule="auto"/>
        <w:rPr>
          <w:rFonts w:ascii="Arial" w:hAnsi="Arial" w:cs="Arial"/>
          <w:color w:val="757575"/>
          <w:sz w:val="20"/>
          <w:szCs w:val="20"/>
          <w:shd w:val="clear" w:color="auto" w:fill="FFFFFF"/>
        </w:rPr>
      </w:pPr>
      <w:r>
        <w:rPr>
          <w:rStyle w:val="Strong"/>
          <w:rFonts w:ascii="Georgia" w:hAnsi="Georgia"/>
          <w:color w:val="ED273E"/>
          <w:sz w:val="27"/>
          <w:szCs w:val="27"/>
          <w:shd w:val="clear" w:color="auto" w:fill="FFFFFF"/>
        </w:rPr>
        <w:t>Crude</w:t>
      </w:r>
      <w:r>
        <w:rPr>
          <w:rFonts w:ascii="Helvetica" w:hAnsi="Helvetica" w:cs="Helvetica"/>
          <w:color w:val="757575"/>
          <w:sz w:val="20"/>
          <w:szCs w:val="20"/>
        </w:rPr>
        <w:br/>
      </w:r>
      <w:r w:rsidR="00A6741E">
        <w:rPr>
          <w:rFonts w:ascii="Arial" w:hAnsi="Arial" w:cs="Arial"/>
          <w:color w:val="757575"/>
          <w:sz w:val="20"/>
          <w:szCs w:val="20"/>
          <w:shd w:val="clear" w:color="auto" w:fill="FFFFFF"/>
        </w:rPr>
        <w:t>O</w:t>
      </w:r>
      <w:r w:rsidR="00A6741E" w:rsidRPr="00A6741E">
        <w:rPr>
          <w:rFonts w:ascii="Arial" w:hAnsi="Arial" w:cs="Arial"/>
          <w:color w:val="757575"/>
          <w:sz w:val="20"/>
          <w:szCs w:val="20"/>
          <w:shd w:val="clear" w:color="auto" w:fill="FFFFFF"/>
        </w:rPr>
        <w:t>il prices have been steadily increasing over the last month, with Brent Crude increasing by 4.7% when compared to the beginning of August and WTI increasing by 6.2%.</w:t>
      </w:r>
    </w:p>
    <w:p w14:paraId="650FAFC4" w14:textId="069F5863" w:rsidR="00A6741E" w:rsidRPr="00A6741E" w:rsidRDefault="00A6741E" w:rsidP="00A6741E">
      <w:pPr>
        <w:spacing w:after="0" w:line="276" w:lineRule="auto"/>
        <w:rPr>
          <w:rFonts w:ascii="Arial" w:hAnsi="Arial" w:cs="Arial"/>
          <w:color w:val="757575"/>
          <w:sz w:val="20"/>
          <w:szCs w:val="20"/>
          <w:shd w:val="clear" w:color="auto" w:fill="FFFFFF"/>
        </w:rPr>
      </w:pPr>
    </w:p>
    <w:p w14:paraId="25D6D543" w14:textId="2A0E7574" w:rsidR="00A6741E" w:rsidRPr="00A6741E" w:rsidRDefault="000A7507" w:rsidP="00A6741E">
      <w:pPr>
        <w:spacing w:after="0" w:line="276" w:lineRule="auto"/>
        <w:rPr>
          <w:rFonts w:ascii="Arial" w:hAnsi="Arial" w:cs="Arial"/>
          <w:color w:val="757575"/>
          <w:sz w:val="20"/>
          <w:szCs w:val="20"/>
          <w:shd w:val="clear" w:color="auto" w:fill="FFFFFF"/>
        </w:rPr>
      </w:pPr>
      <w:r>
        <w:rPr>
          <w:rFonts w:ascii="Georgia" w:hAnsi="Georgia"/>
          <w:b/>
          <w:bCs/>
          <w:noProof/>
          <w:color w:val="ED273E"/>
          <w:sz w:val="27"/>
          <w:szCs w:val="27"/>
          <w:shd w:val="clear" w:color="auto" w:fill="FFFFFF"/>
        </w:rPr>
        <w:drawing>
          <wp:anchor distT="0" distB="0" distL="114300" distR="114300" simplePos="0" relativeHeight="251694592" behindDoc="0" locked="0" layoutInCell="1" allowOverlap="1" wp14:anchorId="30E1EA24" wp14:editId="2164941D">
            <wp:simplePos x="0" y="0"/>
            <wp:positionH relativeFrom="column">
              <wp:posOffset>2977639</wp:posOffset>
            </wp:positionH>
            <wp:positionV relativeFrom="paragraph">
              <wp:posOffset>125038</wp:posOffset>
            </wp:positionV>
            <wp:extent cx="2888615" cy="2391410"/>
            <wp:effectExtent l="0" t="0" r="6985" b="8890"/>
            <wp:wrapSquare wrapText="bothSides"/>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88615" cy="2391410"/>
                    </a:xfrm>
                    <a:prstGeom prst="rect">
                      <a:avLst/>
                    </a:prstGeom>
                  </pic:spPr>
                </pic:pic>
              </a:graphicData>
            </a:graphic>
            <wp14:sizeRelH relativeFrom="margin">
              <wp14:pctWidth>0</wp14:pctWidth>
            </wp14:sizeRelH>
            <wp14:sizeRelV relativeFrom="margin">
              <wp14:pctHeight>0</wp14:pctHeight>
            </wp14:sizeRelV>
          </wp:anchor>
        </w:drawing>
      </w:r>
      <w:r w:rsidR="00A6741E" w:rsidRPr="00A6741E">
        <w:rPr>
          <w:rFonts w:ascii="Arial" w:hAnsi="Arial" w:cs="Arial"/>
          <w:color w:val="757575"/>
          <w:sz w:val="20"/>
          <w:szCs w:val="20"/>
          <w:shd w:val="clear" w:color="auto" w:fill="FFFFFF"/>
        </w:rPr>
        <w:t>This has been supported by the increase in demand following positive Chinese manufacturing data and a report indicating US oil inventories has declined, which further support the hopes of a global recovery. </w:t>
      </w:r>
    </w:p>
    <w:p w14:paraId="3DC03AC4" w14:textId="213A6DCF" w:rsidR="00A6741E" w:rsidRPr="00A6741E" w:rsidRDefault="00A6741E" w:rsidP="00A6741E">
      <w:pPr>
        <w:spacing w:after="0" w:line="276" w:lineRule="auto"/>
        <w:rPr>
          <w:rFonts w:ascii="Arial" w:hAnsi="Arial" w:cs="Arial"/>
          <w:color w:val="757575"/>
          <w:sz w:val="20"/>
          <w:szCs w:val="20"/>
          <w:shd w:val="clear" w:color="auto" w:fill="FFFFFF"/>
        </w:rPr>
      </w:pPr>
    </w:p>
    <w:p w14:paraId="129B395D" w14:textId="7BB2B238" w:rsidR="00A6741E" w:rsidRPr="00A6741E" w:rsidRDefault="00A6741E" w:rsidP="00A6741E">
      <w:pPr>
        <w:spacing w:after="0" w:line="276" w:lineRule="auto"/>
        <w:rPr>
          <w:rFonts w:ascii="Arial" w:hAnsi="Arial" w:cs="Arial"/>
          <w:color w:val="757575"/>
          <w:sz w:val="20"/>
          <w:szCs w:val="20"/>
          <w:shd w:val="clear" w:color="auto" w:fill="FFFFFF"/>
        </w:rPr>
      </w:pPr>
      <w:r w:rsidRPr="00A6741E">
        <w:rPr>
          <w:rFonts w:ascii="Arial" w:hAnsi="Arial" w:cs="Arial"/>
          <w:color w:val="757575"/>
          <w:sz w:val="20"/>
          <w:szCs w:val="20"/>
          <w:shd w:val="clear" w:color="auto" w:fill="FFFFFF"/>
        </w:rPr>
        <w:t>Prices have dropped slightly today, as data showed OPEC member countries had increased production during last month.</w:t>
      </w:r>
    </w:p>
    <w:p w14:paraId="67F45530" w14:textId="1572ED54" w:rsidR="00A6741E" w:rsidRPr="00A6741E" w:rsidRDefault="00A6741E" w:rsidP="00A6741E">
      <w:pPr>
        <w:spacing w:after="0" w:line="276" w:lineRule="auto"/>
        <w:rPr>
          <w:rFonts w:ascii="Arial" w:hAnsi="Arial" w:cs="Arial"/>
          <w:color w:val="757575"/>
          <w:sz w:val="20"/>
          <w:szCs w:val="20"/>
          <w:shd w:val="clear" w:color="auto" w:fill="FFFFFF"/>
        </w:rPr>
      </w:pPr>
    </w:p>
    <w:p w14:paraId="2374F951" w14:textId="29F42A74" w:rsidR="00A6741E" w:rsidRPr="00A6741E" w:rsidRDefault="00A6741E" w:rsidP="00A6741E">
      <w:pPr>
        <w:spacing w:after="0" w:line="276" w:lineRule="auto"/>
        <w:rPr>
          <w:rFonts w:ascii="Arial" w:hAnsi="Arial" w:cs="Arial"/>
          <w:color w:val="757575"/>
          <w:sz w:val="20"/>
          <w:szCs w:val="20"/>
          <w:shd w:val="clear" w:color="auto" w:fill="FFFFFF"/>
        </w:rPr>
      </w:pPr>
      <w:r w:rsidRPr="00A6741E">
        <w:rPr>
          <w:rFonts w:ascii="Arial" w:hAnsi="Arial" w:cs="Arial"/>
          <w:color w:val="757575"/>
          <w:sz w:val="20"/>
          <w:szCs w:val="20"/>
          <w:shd w:val="clear" w:color="auto" w:fill="FFFFFF"/>
        </w:rPr>
        <w:t>Current price standings:</w:t>
      </w:r>
    </w:p>
    <w:p w14:paraId="3F9AFFB4" w14:textId="79A7DB05" w:rsidR="00723B3C" w:rsidRDefault="00A6741E" w:rsidP="00A6741E">
      <w:pPr>
        <w:spacing w:after="0" w:line="276" w:lineRule="auto"/>
        <w:rPr>
          <w:rFonts w:ascii="Arial" w:hAnsi="Arial" w:cs="Arial"/>
          <w:color w:val="757575"/>
          <w:sz w:val="20"/>
          <w:szCs w:val="20"/>
          <w:shd w:val="clear" w:color="auto" w:fill="FFFFFF"/>
        </w:rPr>
      </w:pPr>
      <w:r w:rsidRPr="00A6741E">
        <w:rPr>
          <w:rFonts w:ascii="Arial" w:hAnsi="Arial" w:cs="Arial"/>
          <w:color w:val="757575"/>
          <w:sz w:val="20"/>
          <w:szCs w:val="20"/>
          <w:shd w:val="clear" w:color="auto" w:fill="FFFFFF"/>
        </w:rPr>
        <w:t>Brent Crude = $43.01/bbl</w:t>
      </w:r>
    </w:p>
    <w:p w14:paraId="5608A29B" w14:textId="4653972A" w:rsidR="00876977" w:rsidRPr="00723B3C" w:rsidRDefault="00A6741E" w:rsidP="00A6741E">
      <w:pPr>
        <w:spacing w:after="0" w:line="276" w:lineRule="auto"/>
        <w:rPr>
          <w:rStyle w:val="Strong"/>
          <w:rFonts w:ascii="Arial" w:hAnsi="Arial" w:cs="Arial"/>
          <w:b w:val="0"/>
          <w:bCs w:val="0"/>
          <w:color w:val="757575"/>
          <w:sz w:val="20"/>
          <w:szCs w:val="20"/>
          <w:shd w:val="clear" w:color="auto" w:fill="FFFFFF"/>
        </w:rPr>
      </w:pPr>
      <w:r w:rsidRPr="00A6741E">
        <w:rPr>
          <w:rFonts w:ascii="Arial" w:hAnsi="Arial" w:cs="Arial"/>
          <w:color w:val="757575"/>
          <w:sz w:val="20"/>
          <w:szCs w:val="20"/>
          <w:shd w:val="clear" w:color="auto" w:fill="FFFFFF"/>
        </w:rPr>
        <w:t>WTI Crude = $40.27/bbl</w:t>
      </w:r>
    </w:p>
    <w:p w14:paraId="3024E623" w14:textId="62C264F4" w:rsidR="00723B3C" w:rsidRDefault="00723B3C" w:rsidP="0043162A">
      <w:pPr>
        <w:spacing w:after="0" w:line="276" w:lineRule="auto"/>
        <w:rPr>
          <w:rStyle w:val="Strong"/>
          <w:rFonts w:ascii="Georgia" w:hAnsi="Georgia"/>
          <w:color w:val="ED273E"/>
          <w:sz w:val="27"/>
          <w:szCs w:val="27"/>
          <w:shd w:val="clear" w:color="auto" w:fill="FFFFFF"/>
        </w:rPr>
      </w:pPr>
    </w:p>
    <w:p w14:paraId="4D298214" w14:textId="5F741DF4" w:rsidR="000A7507" w:rsidRDefault="000A7507" w:rsidP="0043162A">
      <w:pPr>
        <w:spacing w:after="0" w:line="276" w:lineRule="auto"/>
        <w:rPr>
          <w:rStyle w:val="Strong"/>
          <w:rFonts w:ascii="Georgia" w:hAnsi="Georgia"/>
          <w:color w:val="ED273E"/>
          <w:sz w:val="27"/>
          <w:szCs w:val="27"/>
          <w:shd w:val="clear" w:color="auto" w:fill="FFFFFF"/>
        </w:rPr>
      </w:pPr>
      <w:r w:rsidRPr="00C3678B">
        <w:rPr>
          <w:rFonts w:ascii="Helvetica" w:hAnsi="Helvetica" w:cs="Helvetica"/>
          <w:noProof/>
          <w:sz w:val="24"/>
          <w:szCs w:val="24"/>
          <w:lang w:val="en-US"/>
        </w:rPr>
        <w:lastRenderedPageBreak/>
        <mc:AlternateContent>
          <mc:Choice Requires="wps">
            <w:drawing>
              <wp:anchor distT="45720" distB="45720" distL="114300" distR="114300" simplePos="0" relativeHeight="251684352" behindDoc="0" locked="0" layoutInCell="1" allowOverlap="1" wp14:anchorId="26F9039A" wp14:editId="521ADD25">
                <wp:simplePos x="0" y="0"/>
                <wp:positionH relativeFrom="margin">
                  <wp:posOffset>16510</wp:posOffset>
                </wp:positionH>
                <wp:positionV relativeFrom="paragraph">
                  <wp:posOffset>19372</wp:posOffset>
                </wp:positionV>
                <wp:extent cx="5917565" cy="1046480"/>
                <wp:effectExtent l="19050" t="19050" r="45085" b="393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046480"/>
                        </a:xfrm>
                        <a:prstGeom prst="rect">
                          <a:avLst/>
                        </a:prstGeom>
                        <a:solidFill>
                          <a:srgbClr val="002060"/>
                        </a:solidFill>
                        <a:ln w="57150">
                          <a:solidFill>
                            <a:srgbClr val="002060"/>
                          </a:solidFill>
                          <a:miter lim="800000"/>
                          <a:headEnd/>
                          <a:tailEnd/>
                        </a:ln>
                      </wps:spPr>
                      <wps:txbx>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wps:txbx>
                      <wps:bodyPr rot="0" vert="horz" wrap="square" lIns="720000" tIns="45720" rIns="72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F9039A" id="_x0000_s1028" type="#_x0000_t202" style="position:absolute;margin-left:1.3pt;margin-top:1.55pt;width:465.95pt;height:82.4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" fillcolor="#002060" strokecolor="#002060" strokeweight="4.5pt">
                <v:textbox inset="20mm,,20mm">
                  <w:txbxContent>
                    <w:p w14:paraId="3930BA60" w14:textId="590ABCFB" w:rsidR="006106AC" w:rsidRPr="006E0762" w:rsidRDefault="006106AC" w:rsidP="006106AC">
                      <w:pPr>
                        <w:jc w:val="center"/>
                        <w:rPr>
                          <w:b/>
                          <w:bCs/>
                          <w:sz w:val="72"/>
                          <w:szCs w:val="72"/>
                          <w:lang w:val="en-US"/>
                        </w:rPr>
                      </w:pPr>
                      <w:r>
                        <w:rPr>
                          <w:b/>
                          <w:bCs/>
                          <w:sz w:val="72"/>
                          <w:szCs w:val="72"/>
                          <w:lang w:val="en-US"/>
                        </w:rPr>
                        <w:t>ENERGY NEWS</w:t>
                      </w:r>
                    </w:p>
                  </w:txbxContent>
                </v:textbox>
                <w10:wrap type="topAndBottom" anchorx="margin"/>
              </v:shape>
            </w:pict>
          </mc:Fallback>
        </mc:AlternateContent>
      </w:r>
    </w:p>
    <w:p w14:paraId="12A9F0F7" w14:textId="6987FA35" w:rsidR="00060E3F" w:rsidRDefault="00C9399B" w:rsidP="0043162A">
      <w:pPr>
        <w:spacing w:after="0" w:line="276" w:lineRule="auto"/>
        <w:rPr>
          <w:rStyle w:val="Strong"/>
          <w:rFonts w:ascii="Georgia" w:hAnsi="Georgia"/>
          <w:color w:val="ED273E"/>
          <w:sz w:val="27"/>
          <w:szCs w:val="27"/>
          <w:shd w:val="clear" w:color="auto" w:fill="FFFFFF"/>
        </w:rPr>
      </w:pPr>
      <w:r>
        <w:rPr>
          <w:rStyle w:val="Strong"/>
          <w:rFonts w:ascii="Georgia" w:hAnsi="Georgia"/>
          <w:color w:val="ED273E"/>
          <w:sz w:val="27"/>
          <w:szCs w:val="27"/>
          <w:shd w:val="clear" w:color="auto" w:fill="FFFFFF"/>
        </w:rPr>
        <w:t>Coronavirus Spikes</w:t>
      </w:r>
    </w:p>
    <w:p w14:paraId="39D922D3" w14:textId="1F8C88ED" w:rsidR="00C9399B" w:rsidRPr="00C9399B" w:rsidRDefault="00C9399B" w:rsidP="00C9399B">
      <w:pPr>
        <w:spacing w:after="0" w:line="276" w:lineRule="auto"/>
        <w:rPr>
          <w:rFonts w:ascii="Arial" w:hAnsi="Arial" w:cs="Arial"/>
          <w:color w:val="757575"/>
          <w:sz w:val="20"/>
          <w:szCs w:val="20"/>
          <w:shd w:val="clear" w:color="auto" w:fill="FFFFFF"/>
        </w:rPr>
      </w:pPr>
      <w:r w:rsidRPr="00C9399B">
        <w:rPr>
          <w:rFonts w:ascii="Arial" w:hAnsi="Arial" w:cs="Arial"/>
          <w:color w:val="757575"/>
          <w:sz w:val="20"/>
          <w:szCs w:val="20"/>
          <w:shd w:val="clear" w:color="auto" w:fill="FFFFFF"/>
        </w:rPr>
        <w:t xml:space="preserve">There have been several spikes in cases across popular tourist destinations, resulting in more countries being added to the "Red List". The most recent additions were the Czech Republic, </w:t>
      </w:r>
      <w:r w:rsidRPr="00C9399B">
        <w:rPr>
          <w:rFonts w:ascii="Arial" w:hAnsi="Arial" w:cs="Arial"/>
          <w:color w:val="757575"/>
          <w:sz w:val="20"/>
          <w:szCs w:val="20"/>
          <w:shd w:val="clear" w:color="auto" w:fill="FFFFFF"/>
        </w:rPr>
        <w:t>Jamaica,</w:t>
      </w:r>
      <w:r w:rsidRPr="00C9399B">
        <w:rPr>
          <w:rFonts w:ascii="Arial" w:hAnsi="Arial" w:cs="Arial"/>
          <w:color w:val="757575"/>
          <w:sz w:val="20"/>
          <w:szCs w:val="20"/>
          <w:shd w:val="clear" w:color="auto" w:fill="FFFFFF"/>
        </w:rPr>
        <w:t xml:space="preserve"> and Switzerland on the 29th of August. </w:t>
      </w:r>
    </w:p>
    <w:p w14:paraId="5A19D1E4" w14:textId="77777777" w:rsidR="00C9399B" w:rsidRPr="00C9399B" w:rsidRDefault="00C9399B" w:rsidP="00C9399B">
      <w:pPr>
        <w:spacing w:after="0" w:line="276" w:lineRule="auto"/>
        <w:rPr>
          <w:rFonts w:ascii="Arial" w:hAnsi="Arial" w:cs="Arial"/>
          <w:color w:val="757575"/>
          <w:sz w:val="20"/>
          <w:szCs w:val="20"/>
          <w:shd w:val="clear" w:color="auto" w:fill="FFFFFF"/>
        </w:rPr>
      </w:pPr>
    </w:p>
    <w:p w14:paraId="2B95FE7B" w14:textId="77777777" w:rsidR="00C9399B" w:rsidRPr="00C9399B" w:rsidRDefault="00C9399B" w:rsidP="00C9399B">
      <w:pPr>
        <w:spacing w:after="0" w:line="276" w:lineRule="auto"/>
        <w:rPr>
          <w:rFonts w:ascii="Arial" w:hAnsi="Arial" w:cs="Arial"/>
          <w:color w:val="757575"/>
          <w:sz w:val="20"/>
          <w:szCs w:val="20"/>
          <w:shd w:val="clear" w:color="auto" w:fill="FFFFFF"/>
        </w:rPr>
      </w:pPr>
      <w:r w:rsidRPr="00C9399B">
        <w:rPr>
          <w:rFonts w:ascii="Arial" w:hAnsi="Arial" w:cs="Arial"/>
          <w:color w:val="757575"/>
          <w:sz w:val="20"/>
          <w:szCs w:val="20"/>
          <w:shd w:val="clear" w:color="auto" w:fill="FFFFFF"/>
        </w:rPr>
        <w:t>Cases are looked at per 100,000 people and any countries that are above 20 are likely to be added to the list of countries where tourists will need to quarantine for 14 days on arrival into the UK.</w:t>
      </w:r>
    </w:p>
    <w:p w14:paraId="345088AE" w14:textId="77777777" w:rsidR="00C9399B" w:rsidRPr="00C9399B" w:rsidRDefault="00C9399B" w:rsidP="00C9399B">
      <w:pPr>
        <w:spacing w:after="0" w:line="276" w:lineRule="auto"/>
        <w:rPr>
          <w:rFonts w:ascii="Arial" w:hAnsi="Arial" w:cs="Arial"/>
          <w:color w:val="757575"/>
          <w:sz w:val="20"/>
          <w:szCs w:val="20"/>
          <w:shd w:val="clear" w:color="auto" w:fill="FFFFFF"/>
        </w:rPr>
      </w:pPr>
    </w:p>
    <w:p w14:paraId="10984671" w14:textId="77777777" w:rsidR="00C9399B" w:rsidRPr="00C9399B" w:rsidRDefault="00C9399B" w:rsidP="00C9399B">
      <w:pPr>
        <w:spacing w:after="0" w:line="276" w:lineRule="auto"/>
        <w:rPr>
          <w:rFonts w:ascii="Arial" w:hAnsi="Arial" w:cs="Arial"/>
          <w:color w:val="757575"/>
          <w:sz w:val="20"/>
          <w:szCs w:val="20"/>
          <w:shd w:val="clear" w:color="auto" w:fill="FFFFFF"/>
        </w:rPr>
      </w:pPr>
      <w:r w:rsidRPr="00C9399B">
        <w:rPr>
          <w:rFonts w:ascii="Arial" w:hAnsi="Arial" w:cs="Arial"/>
          <w:color w:val="757575"/>
          <w:sz w:val="20"/>
          <w:szCs w:val="20"/>
          <w:shd w:val="clear" w:color="auto" w:fill="FFFFFF"/>
        </w:rPr>
        <w:t>Portugal was added back to the exemption list less than 2 weeks ago but has since seen the number of cases rise. Many tourists looked to book early flights home, to avoid the possibility of having to quarantine, which saw flights from Portugal soar in price. </w:t>
      </w:r>
    </w:p>
    <w:p w14:paraId="3CD31E9D" w14:textId="77777777" w:rsidR="00C9399B" w:rsidRPr="00C9399B" w:rsidRDefault="00C9399B" w:rsidP="00C9399B">
      <w:pPr>
        <w:spacing w:after="0" w:line="276" w:lineRule="auto"/>
        <w:rPr>
          <w:rFonts w:ascii="Arial" w:hAnsi="Arial" w:cs="Arial"/>
          <w:color w:val="757575"/>
          <w:sz w:val="20"/>
          <w:szCs w:val="20"/>
          <w:shd w:val="clear" w:color="auto" w:fill="FFFFFF"/>
        </w:rPr>
      </w:pPr>
    </w:p>
    <w:p w14:paraId="0A4A4468" w14:textId="22CBCDDA" w:rsidR="00C9399B" w:rsidRPr="00C9399B" w:rsidRDefault="00C9399B" w:rsidP="00C9399B">
      <w:pPr>
        <w:spacing w:after="0" w:line="276" w:lineRule="auto"/>
        <w:rPr>
          <w:rFonts w:ascii="Arial" w:hAnsi="Arial" w:cs="Arial"/>
          <w:color w:val="757575"/>
          <w:sz w:val="20"/>
          <w:szCs w:val="20"/>
          <w:shd w:val="clear" w:color="auto" w:fill="FFFFFF"/>
        </w:rPr>
      </w:pPr>
      <w:r w:rsidRPr="00C9399B">
        <w:rPr>
          <w:rFonts w:ascii="Arial" w:hAnsi="Arial" w:cs="Arial"/>
          <w:color w:val="757575"/>
          <w:sz w:val="20"/>
          <w:szCs w:val="20"/>
          <w:shd w:val="clear" w:color="auto" w:fill="FFFFFF"/>
        </w:rPr>
        <w:t xml:space="preserve">Ministers in England are also facing pressure on </w:t>
      </w:r>
      <w:r w:rsidRPr="00C9399B">
        <w:rPr>
          <w:rFonts w:ascii="Arial" w:hAnsi="Arial" w:cs="Arial"/>
          <w:color w:val="757575"/>
          <w:sz w:val="20"/>
          <w:szCs w:val="20"/>
          <w:shd w:val="clear" w:color="auto" w:fill="FFFFFF"/>
        </w:rPr>
        <w:t>whether</w:t>
      </w:r>
      <w:r w:rsidRPr="00C9399B">
        <w:rPr>
          <w:rFonts w:ascii="Arial" w:hAnsi="Arial" w:cs="Arial"/>
          <w:color w:val="757575"/>
          <w:sz w:val="20"/>
          <w:szCs w:val="20"/>
          <w:shd w:val="clear" w:color="auto" w:fill="FFFFFF"/>
        </w:rPr>
        <w:t xml:space="preserve"> to remove Greece from the exemption list after Scotland and Wales introduced their own measures. Six clusters of cases have been linked to flights from the island Zakynthos - also known as Zante. After a flight back to Cardiff, nearly 200 people faced self-isolation after at least 16 passengers on a </w:t>
      </w:r>
      <w:proofErr w:type="spellStart"/>
      <w:r w:rsidRPr="00C9399B">
        <w:rPr>
          <w:rFonts w:ascii="Arial" w:hAnsi="Arial" w:cs="Arial"/>
          <w:color w:val="757575"/>
          <w:sz w:val="20"/>
          <w:szCs w:val="20"/>
          <w:shd w:val="clear" w:color="auto" w:fill="FFFFFF"/>
        </w:rPr>
        <w:t>Tui</w:t>
      </w:r>
      <w:proofErr w:type="spellEnd"/>
      <w:r w:rsidRPr="00C9399B">
        <w:rPr>
          <w:rFonts w:ascii="Arial" w:hAnsi="Arial" w:cs="Arial"/>
          <w:color w:val="757575"/>
          <w:sz w:val="20"/>
          <w:szCs w:val="20"/>
          <w:shd w:val="clear" w:color="auto" w:fill="FFFFFF"/>
        </w:rPr>
        <w:t xml:space="preserve"> flight tested positive for the virus.</w:t>
      </w:r>
    </w:p>
    <w:p w14:paraId="5E2EF550" w14:textId="77777777" w:rsidR="00C9399B" w:rsidRPr="00C9399B" w:rsidRDefault="00C9399B" w:rsidP="00C9399B">
      <w:pPr>
        <w:spacing w:after="0" w:line="276" w:lineRule="auto"/>
        <w:rPr>
          <w:rFonts w:ascii="Arial" w:hAnsi="Arial" w:cs="Arial"/>
          <w:color w:val="757575"/>
          <w:sz w:val="20"/>
          <w:szCs w:val="20"/>
          <w:shd w:val="clear" w:color="auto" w:fill="FFFFFF"/>
        </w:rPr>
      </w:pPr>
    </w:p>
    <w:p w14:paraId="5D266463" w14:textId="4A85EC5B" w:rsidR="00B636EC" w:rsidRDefault="00C9399B" w:rsidP="00C9399B">
      <w:pPr>
        <w:spacing w:after="0" w:line="276" w:lineRule="auto"/>
        <w:rPr>
          <w:rFonts w:ascii="Georgia" w:eastAsia="Times New Roman" w:hAnsi="Georgia" w:cs="Helvetica"/>
          <w:b/>
          <w:bCs/>
          <w:color w:val="ED273E"/>
          <w:sz w:val="27"/>
          <w:szCs w:val="27"/>
          <w:lang w:eastAsia="en-GB"/>
        </w:rPr>
      </w:pPr>
      <w:r w:rsidRPr="00C9399B">
        <w:rPr>
          <w:rFonts w:ascii="Arial" w:hAnsi="Arial" w:cs="Arial"/>
          <w:color w:val="757575"/>
          <w:sz w:val="20"/>
          <w:szCs w:val="20"/>
          <w:shd w:val="clear" w:color="auto" w:fill="FFFFFF"/>
        </w:rPr>
        <w:t>If more countries are removed from the "safe countries" list and restrictions tightened, demand for oil will drop significantly as holidaymakers change plans and flights are cancelled, which will help to bring the wholesale price of oil down.</w:t>
      </w:r>
    </w:p>
    <w:p w14:paraId="7BB45B4B" w14:textId="511F5298" w:rsidR="0024631E" w:rsidRDefault="0024631E" w:rsidP="00060E3F">
      <w:pPr>
        <w:spacing w:after="0" w:line="276" w:lineRule="auto"/>
        <w:rPr>
          <w:rFonts w:ascii="Georgia" w:eastAsia="Times New Roman" w:hAnsi="Georgia" w:cs="Helvetica"/>
          <w:b/>
          <w:bCs/>
          <w:color w:val="ED273E"/>
          <w:sz w:val="27"/>
          <w:szCs w:val="27"/>
          <w:lang w:eastAsia="en-GB"/>
        </w:rPr>
      </w:pPr>
    </w:p>
    <w:p w14:paraId="39B05EEC" w14:textId="3E364513" w:rsidR="0024631E" w:rsidRDefault="0024631E" w:rsidP="00060E3F">
      <w:pPr>
        <w:spacing w:after="0" w:line="276" w:lineRule="auto"/>
        <w:rPr>
          <w:rFonts w:ascii="Georgia" w:eastAsia="Times New Roman" w:hAnsi="Georgia" w:cs="Helvetica"/>
          <w:b/>
          <w:bCs/>
          <w:color w:val="ED273E"/>
          <w:sz w:val="27"/>
          <w:szCs w:val="27"/>
          <w:lang w:eastAsia="en-GB"/>
        </w:rPr>
      </w:pPr>
    </w:p>
    <w:p w14:paraId="4304AC5D" w14:textId="77777777" w:rsidR="0024631E" w:rsidRDefault="0024631E" w:rsidP="00060E3F">
      <w:pPr>
        <w:spacing w:after="0" w:line="276" w:lineRule="auto"/>
        <w:rPr>
          <w:rFonts w:ascii="Georgia" w:eastAsia="Times New Roman" w:hAnsi="Georgia" w:cs="Helvetica"/>
          <w:b/>
          <w:bCs/>
          <w:color w:val="ED273E"/>
          <w:sz w:val="27"/>
          <w:szCs w:val="27"/>
          <w:lang w:eastAsia="en-GB"/>
        </w:rPr>
      </w:pPr>
    </w:p>
    <w:p w14:paraId="1A9EA94E" w14:textId="0CEE4542" w:rsidR="00CF12B3" w:rsidRDefault="007878D8" w:rsidP="00CF12B3">
      <w:pPr>
        <w:spacing w:after="0" w:line="276" w:lineRule="auto"/>
        <w:rPr>
          <w:rFonts w:ascii="Georgia" w:eastAsia="Times New Roman" w:hAnsi="Georgia" w:cs="Helvetica"/>
          <w:b/>
          <w:bCs/>
          <w:color w:val="ED273E"/>
          <w:sz w:val="27"/>
          <w:szCs w:val="27"/>
          <w:lang w:eastAsia="en-GB"/>
        </w:rPr>
      </w:pPr>
      <w:r>
        <w:rPr>
          <w:rFonts w:ascii="Georgia" w:eastAsia="Times New Roman" w:hAnsi="Georgia" w:cs="Helvetica"/>
          <w:b/>
          <w:bCs/>
          <w:color w:val="ED273E"/>
          <w:sz w:val="27"/>
          <w:szCs w:val="27"/>
          <w:lang w:eastAsia="en-GB"/>
        </w:rPr>
        <w:t>Signs of a Recovering Economy</w:t>
      </w:r>
    </w:p>
    <w:p w14:paraId="0915D0C8" w14:textId="77777777" w:rsidR="007878D8" w:rsidRPr="007878D8" w:rsidRDefault="007878D8" w:rsidP="007878D8">
      <w:pPr>
        <w:spacing w:after="0" w:line="276" w:lineRule="auto"/>
        <w:rPr>
          <w:rFonts w:ascii="Arial" w:eastAsia="Times New Roman" w:hAnsi="Arial" w:cs="Arial"/>
          <w:color w:val="757575"/>
          <w:sz w:val="20"/>
          <w:szCs w:val="20"/>
          <w:lang w:eastAsia="en-GB"/>
        </w:rPr>
      </w:pPr>
      <w:r w:rsidRPr="007878D8">
        <w:rPr>
          <w:rFonts w:ascii="Arial" w:eastAsia="Times New Roman" w:hAnsi="Arial" w:cs="Arial"/>
          <w:color w:val="757575"/>
          <w:sz w:val="20"/>
          <w:szCs w:val="20"/>
          <w:lang w:eastAsia="en-GB"/>
        </w:rPr>
        <w:t>UK economic activity improved over the summer months as coronavirus restrictions eased and government support measures underpinned consumer spending. However, big cities have not seen the same increase in spending activity that the smaller UK towns and cities have. This is likely to be a result of most office workers and commuters, who typically make up a large portion of high street footfall in metropolitan areas, still working from home or on holiday in mid to late August.</w:t>
      </w:r>
    </w:p>
    <w:p w14:paraId="24F743A0" w14:textId="77777777" w:rsidR="007878D8" w:rsidRPr="007878D8" w:rsidRDefault="007878D8" w:rsidP="007878D8">
      <w:pPr>
        <w:spacing w:after="0" w:line="276" w:lineRule="auto"/>
        <w:rPr>
          <w:rFonts w:ascii="Arial" w:eastAsia="Times New Roman" w:hAnsi="Arial" w:cs="Arial"/>
          <w:color w:val="757575"/>
          <w:sz w:val="20"/>
          <w:szCs w:val="20"/>
          <w:lang w:eastAsia="en-GB"/>
        </w:rPr>
      </w:pPr>
    </w:p>
    <w:p w14:paraId="3CEA2917" w14:textId="77777777" w:rsidR="007878D8" w:rsidRPr="007878D8" w:rsidRDefault="007878D8" w:rsidP="007878D8">
      <w:pPr>
        <w:spacing w:after="0" w:line="276" w:lineRule="auto"/>
        <w:rPr>
          <w:rFonts w:ascii="Arial" w:eastAsia="Times New Roman" w:hAnsi="Arial" w:cs="Arial"/>
          <w:color w:val="757575"/>
          <w:sz w:val="20"/>
          <w:szCs w:val="20"/>
          <w:lang w:eastAsia="en-GB"/>
        </w:rPr>
      </w:pPr>
      <w:r w:rsidRPr="007878D8">
        <w:rPr>
          <w:rFonts w:ascii="Arial" w:eastAsia="Times New Roman" w:hAnsi="Arial" w:cs="Arial"/>
          <w:color w:val="757575"/>
          <w:sz w:val="20"/>
          <w:szCs w:val="20"/>
          <w:lang w:eastAsia="en-GB"/>
        </w:rPr>
        <w:t>House prices in the UK also continued their post-lockdown recovery in August, recording their highest monthly rise in 16 years. Prices rose by 2% which has been the result of a range of factors, including demand carried over from lockdown or brought forward, owing to the temporary suspension of stamp duty for some homes. However, the number of sales is still comparatively low, making prices more volatile.</w:t>
      </w:r>
    </w:p>
    <w:p w14:paraId="7E373AA2" w14:textId="77777777" w:rsidR="007878D8" w:rsidRPr="007878D8" w:rsidRDefault="007878D8" w:rsidP="007878D8">
      <w:pPr>
        <w:spacing w:after="0" w:line="276" w:lineRule="auto"/>
        <w:rPr>
          <w:rFonts w:ascii="Arial" w:eastAsia="Times New Roman" w:hAnsi="Arial" w:cs="Arial"/>
          <w:color w:val="757575"/>
          <w:sz w:val="20"/>
          <w:szCs w:val="20"/>
          <w:lang w:eastAsia="en-GB"/>
        </w:rPr>
      </w:pPr>
    </w:p>
    <w:p w14:paraId="04289A47" w14:textId="1EF36BFB" w:rsidR="00CF12B3" w:rsidRDefault="007878D8" w:rsidP="007878D8">
      <w:pPr>
        <w:spacing w:after="0" w:line="276" w:lineRule="auto"/>
        <w:rPr>
          <w:rFonts w:ascii="Georgia" w:eastAsia="Times New Roman" w:hAnsi="Georgia" w:cs="Helvetica"/>
          <w:b/>
          <w:bCs/>
          <w:color w:val="ED273E"/>
          <w:sz w:val="27"/>
          <w:szCs w:val="27"/>
          <w:lang w:eastAsia="en-GB"/>
        </w:rPr>
      </w:pPr>
      <w:r w:rsidRPr="007878D8">
        <w:rPr>
          <w:rFonts w:ascii="Arial" w:eastAsia="Times New Roman" w:hAnsi="Arial" w:cs="Arial"/>
          <w:color w:val="757575"/>
          <w:sz w:val="20"/>
          <w:szCs w:val="20"/>
          <w:lang w:eastAsia="en-GB"/>
        </w:rPr>
        <w:t xml:space="preserve">Oil prices were boosted further this week as manufacturing data from both the US and China looked positive and luxury car sales have </w:t>
      </w:r>
      <w:r w:rsidR="005B02C3" w:rsidRPr="007878D8">
        <w:rPr>
          <w:rFonts w:ascii="Arial" w:eastAsia="Times New Roman" w:hAnsi="Arial" w:cs="Arial"/>
          <w:color w:val="757575"/>
          <w:sz w:val="20"/>
          <w:szCs w:val="20"/>
          <w:lang w:eastAsia="en-GB"/>
        </w:rPr>
        <w:t>improved, further</w:t>
      </w:r>
      <w:r w:rsidRPr="007878D8">
        <w:rPr>
          <w:rFonts w:ascii="Arial" w:eastAsia="Times New Roman" w:hAnsi="Arial" w:cs="Arial"/>
          <w:color w:val="757575"/>
          <w:sz w:val="20"/>
          <w:szCs w:val="20"/>
          <w:lang w:eastAsia="en-GB"/>
        </w:rPr>
        <w:t xml:space="preserve"> supporting hopes of a global recovery.</w:t>
      </w:r>
    </w:p>
    <w:p w14:paraId="5406752A" w14:textId="77777777" w:rsidR="0024631E" w:rsidRDefault="0024631E" w:rsidP="0043162A">
      <w:pPr>
        <w:spacing w:after="0" w:line="276" w:lineRule="auto"/>
        <w:rPr>
          <w:rFonts w:ascii="Georgia" w:eastAsia="Times New Roman" w:hAnsi="Georgia" w:cs="Helvetica"/>
          <w:b/>
          <w:bCs/>
          <w:color w:val="ED273E"/>
          <w:sz w:val="27"/>
          <w:szCs w:val="27"/>
          <w:lang w:eastAsia="en-GB"/>
        </w:rPr>
      </w:pPr>
    </w:p>
    <w:p w14:paraId="4C9EF5BD" w14:textId="77777777" w:rsidR="005B02C3" w:rsidRDefault="005B02C3" w:rsidP="0043162A">
      <w:pPr>
        <w:spacing w:after="0" w:line="276" w:lineRule="auto"/>
        <w:rPr>
          <w:rFonts w:ascii="Georgia" w:eastAsia="Times New Roman" w:hAnsi="Georgia" w:cs="Helvetica"/>
          <w:b/>
          <w:bCs/>
          <w:color w:val="ED273E"/>
          <w:sz w:val="27"/>
          <w:szCs w:val="27"/>
          <w:lang w:eastAsia="en-GB"/>
        </w:rPr>
      </w:pPr>
    </w:p>
    <w:p w14:paraId="649CD58C" w14:textId="77777777" w:rsidR="005B02C3" w:rsidRDefault="005B02C3" w:rsidP="0043162A">
      <w:pPr>
        <w:spacing w:after="0" w:line="276" w:lineRule="auto"/>
        <w:rPr>
          <w:rFonts w:ascii="Georgia" w:eastAsia="Times New Roman" w:hAnsi="Georgia" w:cs="Helvetica"/>
          <w:b/>
          <w:bCs/>
          <w:color w:val="ED273E"/>
          <w:sz w:val="27"/>
          <w:szCs w:val="27"/>
          <w:lang w:eastAsia="en-GB"/>
        </w:rPr>
      </w:pPr>
    </w:p>
    <w:p w14:paraId="34F0E4C7" w14:textId="77777777" w:rsidR="005B02C3" w:rsidRDefault="005B02C3" w:rsidP="0043162A">
      <w:pPr>
        <w:spacing w:after="0" w:line="276" w:lineRule="auto"/>
        <w:rPr>
          <w:rFonts w:ascii="Georgia" w:eastAsia="Times New Roman" w:hAnsi="Georgia" w:cs="Helvetica"/>
          <w:b/>
          <w:bCs/>
          <w:color w:val="ED273E"/>
          <w:sz w:val="27"/>
          <w:szCs w:val="27"/>
          <w:lang w:eastAsia="en-GB"/>
        </w:rPr>
      </w:pPr>
    </w:p>
    <w:p w14:paraId="54ED65E2" w14:textId="77777777" w:rsidR="005B02C3" w:rsidRDefault="005B02C3" w:rsidP="0043162A">
      <w:pPr>
        <w:spacing w:after="0" w:line="276" w:lineRule="auto"/>
        <w:rPr>
          <w:rFonts w:ascii="Georgia" w:eastAsia="Times New Roman" w:hAnsi="Georgia" w:cs="Helvetica"/>
          <w:b/>
          <w:bCs/>
          <w:color w:val="ED273E"/>
          <w:sz w:val="27"/>
          <w:szCs w:val="27"/>
          <w:lang w:eastAsia="en-GB"/>
        </w:rPr>
      </w:pPr>
    </w:p>
    <w:p w14:paraId="18113D77" w14:textId="18858288" w:rsidR="009D718D" w:rsidRDefault="005B02C3" w:rsidP="0043162A">
      <w:pPr>
        <w:spacing w:after="0" w:line="276" w:lineRule="auto"/>
        <w:rPr>
          <w:rFonts w:ascii="Georgia" w:eastAsia="Times New Roman" w:hAnsi="Georgia" w:cs="Helvetica"/>
          <w:b/>
          <w:bCs/>
          <w:color w:val="ED273E"/>
          <w:sz w:val="27"/>
          <w:szCs w:val="27"/>
          <w:lang w:eastAsia="en-GB"/>
        </w:rPr>
      </w:pPr>
      <w:r>
        <w:rPr>
          <w:rFonts w:ascii="Georgia" w:eastAsia="Times New Roman" w:hAnsi="Georgia" w:cs="Helvetica"/>
          <w:b/>
          <w:bCs/>
          <w:color w:val="ED273E"/>
          <w:sz w:val="27"/>
          <w:szCs w:val="27"/>
          <w:lang w:eastAsia="en-GB"/>
        </w:rPr>
        <w:lastRenderedPageBreak/>
        <w:t>Hurricane Laura</w:t>
      </w:r>
    </w:p>
    <w:p w14:paraId="477D3D8A" w14:textId="77777777" w:rsidR="005B02C3" w:rsidRPr="005B02C3" w:rsidRDefault="005B02C3" w:rsidP="005B02C3">
      <w:pPr>
        <w:spacing w:after="0" w:line="276" w:lineRule="auto"/>
        <w:rPr>
          <w:rFonts w:ascii="Arial" w:eastAsia="Times New Roman" w:hAnsi="Arial" w:cs="Arial"/>
          <w:color w:val="757575"/>
          <w:sz w:val="20"/>
          <w:szCs w:val="20"/>
          <w:lang w:eastAsia="en-GB"/>
        </w:rPr>
      </w:pPr>
      <w:r w:rsidRPr="005B02C3">
        <w:rPr>
          <w:rFonts w:ascii="Arial" w:eastAsia="Times New Roman" w:hAnsi="Arial" w:cs="Arial"/>
          <w:color w:val="757575"/>
          <w:sz w:val="20"/>
          <w:szCs w:val="20"/>
          <w:lang w:eastAsia="en-GB"/>
        </w:rPr>
        <w:t>Hurricane Laura was a Category 4 Atlantic hurricane that tied the 1856 Last Island hurricane as the strongest hurricane on record to make landfall in the U.S. state of Louisiana, as measured by maximum sustained winds. Laura originated from a large tropical wave that moved off the West African coast on the 16th of August and became a tropical depression on the 20th.</w:t>
      </w:r>
    </w:p>
    <w:p w14:paraId="2AAEAB34" w14:textId="77777777" w:rsidR="005B02C3" w:rsidRPr="005B02C3" w:rsidRDefault="005B02C3" w:rsidP="005B02C3">
      <w:pPr>
        <w:spacing w:after="0" w:line="276" w:lineRule="auto"/>
        <w:rPr>
          <w:rFonts w:ascii="Arial" w:eastAsia="Times New Roman" w:hAnsi="Arial" w:cs="Arial"/>
          <w:color w:val="757575"/>
          <w:sz w:val="20"/>
          <w:szCs w:val="20"/>
          <w:lang w:eastAsia="en-GB"/>
        </w:rPr>
      </w:pPr>
    </w:p>
    <w:p w14:paraId="09EABC17" w14:textId="77777777" w:rsidR="005B02C3" w:rsidRPr="005B02C3" w:rsidRDefault="005B02C3" w:rsidP="005B02C3">
      <w:pPr>
        <w:spacing w:after="0" w:line="276" w:lineRule="auto"/>
        <w:rPr>
          <w:rFonts w:ascii="Arial" w:eastAsia="Times New Roman" w:hAnsi="Arial" w:cs="Arial"/>
          <w:color w:val="757575"/>
          <w:sz w:val="20"/>
          <w:szCs w:val="20"/>
          <w:lang w:eastAsia="en-GB"/>
        </w:rPr>
      </w:pPr>
      <w:r w:rsidRPr="005B02C3">
        <w:rPr>
          <w:rFonts w:ascii="Arial" w:eastAsia="Times New Roman" w:hAnsi="Arial" w:cs="Arial"/>
          <w:color w:val="757575"/>
          <w:sz w:val="20"/>
          <w:szCs w:val="20"/>
          <w:lang w:eastAsia="en-GB"/>
        </w:rPr>
        <w:t xml:space="preserve">The storm struck Louisiana, damaging </w:t>
      </w:r>
      <w:proofErr w:type="gramStart"/>
      <w:r w:rsidRPr="005B02C3">
        <w:rPr>
          <w:rFonts w:ascii="Arial" w:eastAsia="Times New Roman" w:hAnsi="Arial" w:cs="Arial"/>
          <w:color w:val="757575"/>
          <w:sz w:val="20"/>
          <w:szCs w:val="20"/>
          <w:lang w:eastAsia="en-GB"/>
        </w:rPr>
        <w:t>buildings</w:t>
      </w:r>
      <w:proofErr w:type="gramEnd"/>
      <w:r w:rsidRPr="005B02C3">
        <w:rPr>
          <w:rFonts w:ascii="Arial" w:eastAsia="Times New Roman" w:hAnsi="Arial" w:cs="Arial"/>
          <w:color w:val="757575"/>
          <w:sz w:val="20"/>
          <w:szCs w:val="20"/>
          <w:lang w:eastAsia="en-GB"/>
        </w:rPr>
        <w:t xml:space="preserve"> and cutting power, but sparing oil refineries from heavy flooding. US producers had shut 1.56 million barrels per day (bpd) of crude output, or 83% of the Gulf of Mexico's production, while nine refineries had shut about 2.9 million bpd of capacity, or 15% of US processing capacity, ahead of the storm.</w:t>
      </w:r>
    </w:p>
    <w:p w14:paraId="0D3E7BCD" w14:textId="77777777" w:rsidR="005B02C3" w:rsidRPr="005B02C3" w:rsidRDefault="005B02C3" w:rsidP="005B02C3">
      <w:pPr>
        <w:spacing w:after="0" w:line="276" w:lineRule="auto"/>
        <w:rPr>
          <w:rFonts w:ascii="Arial" w:eastAsia="Times New Roman" w:hAnsi="Arial" w:cs="Arial"/>
          <w:color w:val="757575"/>
          <w:sz w:val="20"/>
          <w:szCs w:val="20"/>
          <w:lang w:eastAsia="en-GB"/>
        </w:rPr>
      </w:pPr>
    </w:p>
    <w:p w14:paraId="44049B4F" w14:textId="312018DA" w:rsidR="004C3982" w:rsidRDefault="005B02C3" w:rsidP="005B02C3">
      <w:pPr>
        <w:spacing w:after="0" w:line="276" w:lineRule="auto"/>
        <w:rPr>
          <w:rFonts w:ascii="Georgia" w:eastAsia="Times New Roman" w:hAnsi="Georgia" w:cs="Helvetica"/>
          <w:b/>
          <w:bCs/>
          <w:color w:val="ED273E"/>
          <w:sz w:val="27"/>
          <w:szCs w:val="27"/>
          <w:lang w:eastAsia="en-GB"/>
        </w:rPr>
      </w:pPr>
      <w:r w:rsidRPr="005B02C3">
        <w:rPr>
          <w:rFonts w:ascii="Arial" w:eastAsia="Times New Roman" w:hAnsi="Arial" w:cs="Arial"/>
          <w:color w:val="757575"/>
          <w:sz w:val="20"/>
          <w:szCs w:val="20"/>
          <w:lang w:eastAsia="en-GB"/>
        </w:rPr>
        <w:t>Many refineries that were hit are now in the process of reopening and crude prices rebounded this week, as the decline in production levels due to the storm was not as bad as predicted.</w:t>
      </w:r>
    </w:p>
    <w:p w14:paraId="0D9FC154" w14:textId="2D57A70C" w:rsidR="004C3982" w:rsidRDefault="004C3982" w:rsidP="004C3982">
      <w:pPr>
        <w:spacing w:after="0" w:line="276" w:lineRule="auto"/>
        <w:rPr>
          <w:rFonts w:ascii="Georgia" w:eastAsia="Times New Roman" w:hAnsi="Georgia" w:cs="Helvetica"/>
          <w:b/>
          <w:bCs/>
          <w:color w:val="ED273E"/>
          <w:sz w:val="27"/>
          <w:szCs w:val="27"/>
          <w:lang w:eastAsia="en-GB"/>
        </w:rPr>
      </w:pPr>
    </w:p>
    <w:p w14:paraId="1310A669"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D64A276"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6DB8B81C"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7206AAA"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06B22DC4"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1614BC96"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1BA64F25"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1541D22B"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3DE1F346"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1C9856C2"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56FCE60"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2B0F2AF"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539E92D5"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9260EE4"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70B350A6"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2680B707"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4607515B"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362BF26C" w14:textId="77777777" w:rsidR="0024631E" w:rsidRDefault="0024631E" w:rsidP="004C3982">
      <w:pPr>
        <w:spacing w:after="0" w:line="276" w:lineRule="auto"/>
        <w:rPr>
          <w:rFonts w:ascii="Georgia" w:eastAsia="Times New Roman" w:hAnsi="Georgia" w:cs="Helvetica"/>
          <w:b/>
          <w:bCs/>
          <w:color w:val="ED273E"/>
          <w:sz w:val="27"/>
          <w:szCs w:val="27"/>
          <w:lang w:eastAsia="en-GB"/>
        </w:rPr>
      </w:pPr>
    </w:p>
    <w:p w14:paraId="7B77D5AF" w14:textId="21C8FA02" w:rsidR="004C3982" w:rsidRPr="004C3982" w:rsidRDefault="004C3982" w:rsidP="004C3982">
      <w:pPr>
        <w:spacing w:after="0" w:line="276" w:lineRule="auto"/>
        <w:rPr>
          <w:rFonts w:ascii="Georgia" w:eastAsia="Times New Roman" w:hAnsi="Georgia" w:cs="Helvetica"/>
          <w:b/>
          <w:bCs/>
          <w:color w:val="ED273E"/>
          <w:sz w:val="27"/>
          <w:szCs w:val="27"/>
          <w:lang w:eastAsia="en-GB"/>
        </w:rPr>
      </w:pPr>
      <w:r w:rsidRPr="00540C8E">
        <w:rPr>
          <w:rFonts w:ascii="Arial" w:hAnsi="Arial" w:cs="Arial"/>
          <w:noProof/>
          <w:sz w:val="24"/>
          <w:szCs w:val="24"/>
          <w:lang w:val="en-US"/>
        </w:rPr>
        <mc:AlternateContent>
          <mc:Choice Requires="wps">
            <w:drawing>
              <wp:anchor distT="45720" distB="45720" distL="114300" distR="114300" simplePos="0" relativeHeight="251689472" behindDoc="0" locked="0" layoutInCell="1" allowOverlap="1" wp14:anchorId="0AE72185" wp14:editId="665DBDEC">
                <wp:simplePos x="0" y="0"/>
                <wp:positionH relativeFrom="margin">
                  <wp:posOffset>-888365</wp:posOffset>
                </wp:positionH>
                <wp:positionV relativeFrom="paragraph">
                  <wp:posOffset>1450055</wp:posOffset>
                </wp:positionV>
                <wp:extent cx="7740015" cy="730885"/>
                <wp:effectExtent l="19050" t="19050" r="32385" b="311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730885"/>
                        </a:xfrm>
                        <a:prstGeom prst="rect">
                          <a:avLst/>
                        </a:prstGeom>
                        <a:solidFill>
                          <a:srgbClr val="002060"/>
                        </a:solidFill>
                        <a:ln w="57150">
                          <a:solidFill>
                            <a:srgbClr val="002060"/>
                          </a:solidFill>
                          <a:miter lim="800000"/>
                          <a:headEnd/>
                          <a:tailEnd/>
                        </a:ln>
                      </wps:spPr>
                      <wps:txbx>
                        <w:txbxContent>
                          <w:p w14:paraId="7429BB30" w14:textId="6E8EB0FD" w:rsidR="00EF5321" w:rsidRPr="00CA1135" w:rsidRDefault="00C80A29" w:rsidP="00EF5321">
                            <w:pPr>
                              <w:jc w:val="right"/>
                              <w:rPr>
                                <w:b/>
                                <w:bCs/>
                                <w:sz w:val="28"/>
                                <w:szCs w:val="28"/>
                                <w:lang w:val="en-US"/>
                              </w:rPr>
                            </w:pPr>
                            <w:r>
                              <w:rPr>
                                <w:b/>
                                <w:bCs/>
                                <w:sz w:val="28"/>
                                <w:szCs w:val="28"/>
                                <w:lang w:val="en-US"/>
                              </w:rPr>
                              <w:t>partners</w:t>
                            </w:r>
                            <w:r w:rsidR="00EF5321">
                              <w:rPr>
                                <w:b/>
                                <w:bCs/>
                                <w:sz w:val="28"/>
                                <w:szCs w:val="28"/>
                                <w:lang w:val="en-US"/>
                              </w:rPr>
                              <w:t>@fidelity-energy.co.uk</w:t>
                            </w:r>
                          </w:p>
                          <w:p w14:paraId="7FFF2043" w14:textId="77777777" w:rsidR="00EF5321" w:rsidRPr="00CA1135" w:rsidRDefault="00EF5321" w:rsidP="00EF5321">
                            <w:pPr>
                              <w:jc w:val="right"/>
                              <w:rPr>
                                <w:b/>
                                <w:bCs/>
                                <w:sz w:val="28"/>
                                <w:szCs w:val="28"/>
                                <w:lang w:val="en-US"/>
                              </w:rPr>
                            </w:pPr>
                            <w:r>
                              <w:rPr>
                                <w:b/>
                                <w:bCs/>
                                <w:sz w:val="28"/>
                                <w:szCs w:val="28"/>
                                <w:lang w:val="en-US"/>
                              </w:rPr>
                              <w:t>08000 48 48 00</w:t>
                            </w:r>
                          </w:p>
                        </w:txbxContent>
                      </wps:txbx>
                      <wps:bodyPr rot="0" vert="horz" wrap="square" lIns="91440" tIns="45720" rIns="1152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E72185" id="_x0000_s1029" type="#_x0000_t202" style="position:absolute;margin-left:-69.95pt;margin-top:114.2pt;width:609.45pt;height:57.5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" fillcolor="#002060" strokecolor="#002060" strokeweight="4.5pt">
                <v:textbox inset=",,32mm">
                  <w:txbxContent>
                    <w:p w14:paraId="7429BB30" w14:textId="6E8EB0FD" w:rsidR="00EF5321" w:rsidRPr="00CA1135" w:rsidRDefault="00C80A29" w:rsidP="00EF5321">
                      <w:pPr>
                        <w:jc w:val="right"/>
                        <w:rPr>
                          <w:b/>
                          <w:bCs/>
                          <w:sz w:val="28"/>
                          <w:szCs w:val="28"/>
                          <w:lang w:val="en-US"/>
                        </w:rPr>
                      </w:pPr>
                      <w:r>
                        <w:rPr>
                          <w:b/>
                          <w:bCs/>
                          <w:sz w:val="28"/>
                          <w:szCs w:val="28"/>
                          <w:lang w:val="en-US"/>
                        </w:rPr>
                        <w:t>partners</w:t>
                      </w:r>
                      <w:r w:rsidR="00EF5321">
                        <w:rPr>
                          <w:b/>
                          <w:bCs/>
                          <w:sz w:val="28"/>
                          <w:szCs w:val="28"/>
                          <w:lang w:val="en-US"/>
                        </w:rPr>
                        <w:t>@fidelity-energy.co.uk</w:t>
                      </w:r>
                    </w:p>
                    <w:p w14:paraId="7FFF2043" w14:textId="77777777" w:rsidR="00EF5321" w:rsidRPr="00CA1135" w:rsidRDefault="00EF5321" w:rsidP="00EF5321">
                      <w:pPr>
                        <w:jc w:val="right"/>
                        <w:rPr>
                          <w:b/>
                          <w:bCs/>
                          <w:sz w:val="28"/>
                          <w:szCs w:val="28"/>
                          <w:lang w:val="en-US"/>
                        </w:rPr>
                      </w:pPr>
                      <w:r>
                        <w:rPr>
                          <w:b/>
                          <w:bCs/>
                          <w:sz w:val="28"/>
                          <w:szCs w:val="28"/>
                          <w:lang w:val="en-US"/>
                        </w:rPr>
                        <w:t>08000 48 48 00</w:t>
                      </w:r>
                    </w:p>
                  </w:txbxContent>
                </v:textbox>
                <w10:wrap anchorx="margin"/>
              </v:shape>
            </w:pict>
          </mc:Fallback>
        </mc:AlternateContent>
      </w:r>
    </w:p>
    <w:sectPr w:rsidR="004C3982" w:rsidRPr="004C3982" w:rsidSect="000A7507">
      <w:headerReference w:type="default" r:id="rId13"/>
      <w:footerReference w:type="default" r:id="rId14"/>
      <w:pgSz w:w="11906" w:h="16838"/>
      <w:pgMar w:top="1134"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F501" w14:textId="77777777" w:rsidR="003A7468" w:rsidRDefault="003A7468" w:rsidP="00111B4C">
      <w:pPr>
        <w:spacing w:after="0" w:line="240" w:lineRule="auto"/>
      </w:pPr>
      <w:r>
        <w:separator/>
      </w:r>
    </w:p>
  </w:endnote>
  <w:endnote w:type="continuationSeparator" w:id="0">
    <w:p w14:paraId="71492D59" w14:textId="77777777" w:rsidR="003A7468" w:rsidRDefault="003A7468" w:rsidP="0011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61D7" w14:textId="77777777" w:rsidR="000C6049" w:rsidRDefault="000C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971F" w14:textId="77777777" w:rsidR="003A7468" w:rsidRDefault="003A7468" w:rsidP="00111B4C">
      <w:pPr>
        <w:spacing w:after="0" w:line="240" w:lineRule="auto"/>
      </w:pPr>
      <w:r>
        <w:separator/>
      </w:r>
    </w:p>
  </w:footnote>
  <w:footnote w:type="continuationSeparator" w:id="0">
    <w:p w14:paraId="79E4CD95" w14:textId="77777777" w:rsidR="003A7468" w:rsidRDefault="003A7468" w:rsidP="0011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8759" w14:textId="621960E1" w:rsidR="00295D3D" w:rsidRDefault="00295D3D">
    <w:pPr>
      <w:pStyle w:val="Header"/>
    </w:pPr>
    <w:r>
      <w:rPr>
        <w:noProof/>
      </w:rPr>
      <w:drawing>
        <wp:anchor distT="0" distB="0" distL="114300" distR="114300" simplePos="0" relativeHeight="251658240" behindDoc="0" locked="0" layoutInCell="1" allowOverlap="1" wp14:anchorId="02A687D6" wp14:editId="60B8DA94">
          <wp:simplePos x="0" y="0"/>
          <wp:positionH relativeFrom="margin">
            <wp:align>center</wp:align>
          </wp:positionH>
          <wp:positionV relativeFrom="paragraph">
            <wp:posOffset>-232391</wp:posOffset>
          </wp:positionV>
          <wp:extent cx="1880870" cy="652145"/>
          <wp:effectExtent l="0" t="0" r="5080" b="0"/>
          <wp:wrapTopAndBottom/>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logo.jpg"/>
                  <pic:cNvPicPr/>
                </pic:nvPicPr>
                <pic:blipFill>
                  <a:blip r:embed="rId1">
                    <a:extLst>
                      <a:ext uri="{28A0092B-C50C-407E-A947-70E740481C1C}">
                        <a14:useLocalDpi xmlns:a14="http://schemas.microsoft.com/office/drawing/2010/main" val="0"/>
                      </a:ext>
                    </a:extLst>
                  </a:blip>
                  <a:stretch>
                    <a:fillRect/>
                  </a:stretch>
                </pic:blipFill>
                <pic:spPr>
                  <a:xfrm>
                    <a:off x="0" y="0"/>
                    <a:ext cx="1880870" cy="652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9B"/>
    <w:multiLevelType w:val="hybridMultilevel"/>
    <w:tmpl w:val="2C1A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3DE8"/>
    <w:multiLevelType w:val="hybridMultilevel"/>
    <w:tmpl w:val="589A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49ED"/>
    <w:multiLevelType w:val="hybridMultilevel"/>
    <w:tmpl w:val="9FDA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67163"/>
    <w:multiLevelType w:val="hybridMultilevel"/>
    <w:tmpl w:val="6DA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95A1E"/>
    <w:multiLevelType w:val="hybridMultilevel"/>
    <w:tmpl w:val="F02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92198"/>
    <w:multiLevelType w:val="hybridMultilevel"/>
    <w:tmpl w:val="E41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31A62"/>
    <w:multiLevelType w:val="hybridMultilevel"/>
    <w:tmpl w:val="AF7C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208E8"/>
    <w:multiLevelType w:val="hybridMultilevel"/>
    <w:tmpl w:val="946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4464C"/>
    <w:multiLevelType w:val="hybridMultilevel"/>
    <w:tmpl w:val="087E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11EB3"/>
    <w:multiLevelType w:val="hybridMultilevel"/>
    <w:tmpl w:val="D7C6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B5E17"/>
    <w:multiLevelType w:val="hybridMultilevel"/>
    <w:tmpl w:val="C282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37E5A"/>
    <w:multiLevelType w:val="hybridMultilevel"/>
    <w:tmpl w:val="4C2C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65C0B"/>
    <w:multiLevelType w:val="hybridMultilevel"/>
    <w:tmpl w:val="B78E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8518A"/>
    <w:multiLevelType w:val="hybridMultilevel"/>
    <w:tmpl w:val="BFC8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7"/>
  </w:num>
  <w:num w:numId="5">
    <w:abstractNumId w:val="5"/>
  </w:num>
  <w:num w:numId="6">
    <w:abstractNumId w:val="3"/>
  </w:num>
  <w:num w:numId="7">
    <w:abstractNumId w:val="4"/>
  </w:num>
  <w:num w:numId="8">
    <w:abstractNumId w:val="8"/>
  </w:num>
  <w:num w:numId="9">
    <w:abstractNumId w:val="10"/>
  </w:num>
  <w:num w:numId="10">
    <w:abstractNumId w:val="9"/>
  </w:num>
  <w:num w:numId="11">
    <w:abstractNumId w:val="12"/>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A"/>
    <w:rsid w:val="0000496B"/>
    <w:rsid w:val="00010ACF"/>
    <w:rsid w:val="00011E3E"/>
    <w:rsid w:val="00021CB3"/>
    <w:rsid w:val="00022632"/>
    <w:rsid w:val="00026DC9"/>
    <w:rsid w:val="00030CAF"/>
    <w:rsid w:val="000333F6"/>
    <w:rsid w:val="00036F6B"/>
    <w:rsid w:val="00042AD1"/>
    <w:rsid w:val="000525B2"/>
    <w:rsid w:val="00060E3F"/>
    <w:rsid w:val="00064584"/>
    <w:rsid w:val="00065140"/>
    <w:rsid w:val="00066677"/>
    <w:rsid w:val="0007349A"/>
    <w:rsid w:val="00085198"/>
    <w:rsid w:val="00090299"/>
    <w:rsid w:val="000945E4"/>
    <w:rsid w:val="000A5BD7"/>
    <w:rsid w:val="000A7507"/>
    <w:rsid w:val="000A7A93"/>
    <w:rsid w:val="000B2F23"/>
    <w:rsid w:val="000C6049"/>
    <w:rsid w:val="000D3008"/>
    <w:rsid w:val="000E0368"/>
    <w:rsid w:val="000E2269"/>
    <w:rsid w:val="000E6590"/>
    <w:rsid w:val="000E7298"/>
    <w:rsid w:val="000F6F68"/>
    <w:rsid w:val="00111B4C"/>
    <w:rsid w:val="00121811"/>
    <w:rsid w:val="00122BC3"/>
    <w:rsid w:val="00137E62"/>
    <w:rsid w:val="0014314F"/>
    <w:rsid w:val="00144761"/>
    <w:rsid w:val="00144F2E"/>
    <w:rsid w:val="00153A8D"/>
    <w:rsid w:val="00153EA9"/>
    <w:rsid w:val="00157345"/>
    <w:rsid w:val="00166628"/>
    <w:rsid w:val="00175898"/>
    <w:rsid w:val="0019061F"/>
    <w:rsid w:val="001A55DA"/>
    <w:rsid w:val="001B5805"/>
    <w:rsid w:val="001C357E"/>
    <w:rsid w:val="001C3E98"/>
    <w:rsid w:val="001C7DD0"/>
    <w:rsid w:val="001D4AFC"/>
    <w:rsid w:val="001E0D07"/>
    <w:rsid w:val="001E6E67"/>
    <w:rsid w:val="002076AB"/>
    <w:rsid w:val="00216A7B"/>
    <w:rsid w:val="00224C68"/>
    <w:rsid w:val="00231497"/>
    <w:rsid w:val="00244253"/>
    <w:rsid w:val="00244897"/>
    <w:rsid w:val="0024631E"/>
    <w:rsid w:val="00250719"/>
    <w:rsid w:val="00265D5F"/>
    <w:rsid w:val="00270639"/>
    <w:rsid w:val="002709EC"/>
    <w:rsid w:val="00294C2B"/>
    <w:rsid w:val="00295D3D"/>
    <w:rsid w:val="002A38A0"/>
    <w:rsid w:val="002B6CE2"/>
    <w:rsid w:val="002C2C01"/>
    <w:rsid w:val="002D63D9"/>
    <w:rsid w:val="002E47AE"/>
    <w:rsid w:val="002F46B1"/>
    <w:rsid w:val="003012FC"/>
    <w:rsid w:val="003100AA"/>
    <w:rsid w:val="00310906"/>
    <w:rsid w:val="00320DF7"/>
    <w:rsid w:val="003421B3"/>
    <w:rsid w:val="00353BBD"/>
    <w:rsid w:val="00366E0D"/>
    <w:rsid w:val="00394345"/>
    <w:rsid w:val="003A58C9"/>
    <w:rsid w:val="003A7468"/>
    <w:rsid w:val="003C1B75"/>
    <w:rsid w:val="003D577E"/>
    <w:rsid w:val="003E432A"/>
    <w:rsid w:val="003F459C"/>
    <w:rsid w:val="0040111A"/>
    <w:rsid w:val="004037BF"/>
    <w:rsid w:val="00405D76"/>
    <w:rsid w:val="004100AD"/>
    <w:rsid w:val="00425D87"/>
    <w:rsid w:val="0043162A"/>
    <w:rsid w:val="00434100"/>
    <w:rsid w:val="00442A99"/>
    <w:rsid w:val="00470320"/>
    <w:rsid w:val="004739AB"/>
    <w:rsid w:val="00484765"/>
    <w:rsid w:val="00484943"/>
    <w:rsid w:val="00484E04"/>
    <w:rsid w:val="004A4DCD"/>
    <w:rsid w:val="004A60F9"/>
    <w:rsid w:val="004B6610"/>
    <w:rsid w:val="004B7134"/>
    <w:rsid w:val="004C3982"/>
    <w:rsid w:val="004C60E1"/>
    <w:rsid w:val="004D5316"/>
    <w:rsid w:val="004F10BD"/>
    <w:rsid w:val="004F665F"/>
    <w:rsid w:val="00503E05"/>
    <w:rsid w:val="005109E3"/>
    <w:rsid w:val="00514274"/>
    <w:rsid w:val="005313F5"/>
    <w:rsid w:val="00540C8E"/>
    <w:rsid w:val="00551D4D"/>
    <w:rsid w:val="00555D7B"/>
    <w:rsid w:val="0055771B"/>
    <w:rsid w:val="00563815"/>
    <w:rsid w:val="00570619"/>
    <w:rsid w:val="005805C1"/>
    <w:rsid w:val="0058468A"/>
    <w:rsid w:val="0059117D"/>
    <w:rsid w:val="005A3A3E"/>
    <w:rsid w:val="005B02C3"/>
    <w:rsid w:val="005B18FA"/>
    <w:rsid w:val="005B411C"/>
    <w:rsid w:val="005C3618"/>
    <w:rsid w:val="005C569D"/>
    <w:rsid w:val="005D307F"/>
    <w:rsid w:val="005D3B67"/>
    <w:rsid w:val="005E461C"/>
    <w:rsid w:val="006106AC"/>
    <w:rsid w:val="00616046"/>
    <w:rsid w:val="00620251"/>
    <w:rsid w:val="00622512"/>
    <w:rsid w:val="00622E16"/>
    <w:rsid w:val="006374C0"/>
    <w:rsid w:val="006375BC"/>
    <w:rsid w:val="00656B76"/>
    <w:rsid w:val="00663A6E"/>
    <w:rsid w:val="006911BD"/>
    <w:rsid w:val="006918CD"/>
    <w:rsid w:val="00692902"/>
    <w:rsid w:val="00696612"/>
    <w:rsid w:val="006966C5"/>
    <w:rsid w:val="006A12DD"/>
    <w:rsid w:val="006A2542"/>
    <w:rsid w:val="006A5141"/>
    <w:rsid w:val="006C242B"/>
    <w:rsid w:val="006C55F0"/>
    <w:rsid w:val="006D39A9"/>
    <w:rsid w:val="006E0762"/>
    <w:rsid w:val="006E2810"/>
    <w:rsid w:val="006E2D17"/>
    <w:rsid w:val="006F08B0"/>
    <w:rsid w:val="006F7BE5"/>
    <w:rsid w:val="0070183E"/>
    <w:rsid w:val="00702C2E"/>
    <w:rsid w:val="007031F8"/>
    <w:rsid w:val="007141FF"/>
    <w:rsid w:val="0071789E"/>
    <w:rsid w:val="00723B3C"/>
    <w:rsid w:val="007300F4"/>
    <w:rsid w:val="00730D02"/>
    <w:rsid w:val="00736BD9"/>
    <w:rsid w:val="007406A8"/>
    <w:rsid w:val="007468B1"/>
    <w:rsid w:val="00746ED3"/>
    <w:rsid w:val="00784CBA"/>
    <w:rsid w:val="007878D8"/>
    <w:rsid w:val="0079650D"/>
    <w:rsid w:val="007B5FBB"/>
    <w:rsid w:val="007C431F"/>
    <w:rsid w:val="007C6B7D"/>
    <w:rsid w:val="007C711B"/>
    <w:rsid w:val="007D0CE1"/>
    <w:rsid w:val="007E643F"/>
    <w:rsid w:val="007F3E27"/>
    <w:rsid w:val="00816A63"/>
    <w:rsid w:val="0082083F"/>
    <w:rsid w:val="008252D5"/>
    <w:rsid w:val="008304C3"/>
    <w:rsid w:val="00830AF5"/>
    <w:rsid w:val="008316B7"/>
    <w:rsid w:val="00833C39"/>
    <w:rsid w:val="008419F9"/>
    <w:rsid w:val="00844270"/>
    <w:rsid w:val="00844B42"/>
    <w:rsid w:val="008507B2"/>
    <w:rsid w:val="008668AB"/>
    <w:rsid w:val="00876977"/>
    <w:rsid w:val="00887252"/>
    <w:rsid w:val="00893397"/>
    <w:rsid w:val="008A2BBF"/>
    <w:rsid w:val="008A5AD8"/>
    <w:rsid w:val="008B7B86"/>
    <w:rsid w:val="008C6C8C"/>
    <w:rsid w:val="008D01A5"/>
    <w:rsid w:val="008D5E68"/>
    <w:rsid w:val="008E5AE9"/>
    <w:rsid w:val="008F3BAA"/>
    <w:rsid w:val="008F6006"/>
    <w:rsid w:val="00911DFD"/>
    <w:rsid w:val="0094036A"/>
    <w:rsid w:val="00943783"/>
    <w:rsid w:val="0095191A"/>
    <w:rsid w:val="009574C7"/>
    <w:rsid w:val="00961835"/>
    <w:rsid w:val="009648D8"/>
    <w:rsid w:val="0096649F"/>
    <w:rsid w:val="009666DC"/>
    <w:rsid w:val="00966AF8"/>
    <w:rsid w:val="00983192"/>
    <w:rsid w:val="009A69E0"/>
    <w:rsid w:val="009B2C5F"/>
    <w:rsid w:val="009D718D"/>
    <w:rsid w:val="009E61E4"/>
    <w:rsid w:val="00A06512"/>
    <w:rsid w:val="00A369E4"/>
    <w:rsid w:val="00A4652E"/>
    <w:rsid w:val="00A4743C"/>
    <w:rsid w:val="00A670F7"/>
    <w:rsid w:val="00A6741E"/>
    <w:rsid w:val="00A71FA2"/>
    <w:rsid w:val="00A76B0E"/>
    <w:rsid w:val="00A865DE"/>
    <w:rsid w:val="00A956C1"/>
    <w:rsid w:val="00AA5D16"/>
    <w:rsid w:val="00AA642C"/>
    <w:rsid w:val="00AB0718"/>
    <w:rsid w:val="00AC2585"/>
    <w:rsid w:val="00AC5BBD"/>
    <w:rsid w:val="00AD3FDE"/>
    <w:rsid w:val="00AE340A"/>
    <w:rsid w:val="00AE347F"/>
    <w:rsid w:val="00AF62B5"/>
    <w:rsid w:val="00B1517E"/>
    <w:rsid w:val="00B254B8"/>
    <w:rsid w:val="00B27C9D"/>
    <w:rsid w:val="00B3589B"/>
    <w:rsid w:val="00B42688"/>
    <w:rsid w:val="00B50AA4"/>
    <w:rsid w:val="00B50B70"/>
    <w:rsid w:val="00B516EA"/>
    <w:rsid w:val="00B55956"/>
    <w:rsid w:val="00B636EC"/>
    <w:rsid w:val="00B71471"/>
    <w:rsid w:val="00B735C3"/>
    <w:rsid w:val="00B8092E"/>
    <w:rsid w:val="00B92052"/>
    <w:rsid w:val="00B955AC"/>
    <w:rsid w:val="00B95882"/>
    <w:rsid w:val="00BA3BCE"/>
    <w:rsid w:val="00BA7680"/>
    <w:rsid w:val="00BB4486"/>
    <w:rsid w:val="00BD1B53"/>
    <w:rsid w:val="00BD496D"/>
    <w:rsid w:val="00BF0388"/>
    <w:rsid w:val="00BF27F8"/>
    <w:rsid w:val="00C01AF3"/>
    <w:rsid w:val="00C02E7B"/>
    <w:rsid w:val="00C04B18"/>
    <w:rsid w:val="00C16AFB"/>
    <w:rsid w:val="00C24AB8"/>
    <w:rsid w:val="00C25B81"/>
    <w:rsid w:val="00C3678B"/>
    <w:rsid w:val="00C44DAD"/>
    <w:rsid w:val="00C46DE2"/>
    <w:rsid w:val="00C73B66"/>
    <w:rsid w:val="00C7711F"/>
    <w:rsid w:val="00C80A29"/>
    <w:rsid w:val="00C82D71"/>
    <w:rsid w:val="00C84C4A"/>
    <w:rsid w:val="00C87FAC"/>
    <w:rsid w:val="00C9399B"/>
    <w:rsid w:val="00CA1135"/>
    <w:rsid w:val="00CA3763"/>
    <w:rsid w:val="00CB43A7"/>
    <w:rsid w:val="00CC5C95"/>
    <w:rsid w:val="00CD0803"/>
    <w:rsid w:val="00CD33E6"/>
    <w:rsid w:val="00CF12B3"/>
    <w:rsid w:val="00CF26E7"/>
    <w:rsid w:val="00D03983"/>
    <w:rsid w:val="00D10AE7"/>
    <w:rsid w:val="00D11DD5"/>
    <w:rsid w:val="00D15D64"/>
    <w:rsid w:val="00D16B7D"/>
    <w:rsid w:val="00D23403"/>
    <w:rsid w:val="00D30DD2"/>
    <w:rsid w:val="00D443C4"/>
    <w:rsid w:val="00D455A6"/>
    <w:rsid w:val="00D6372D"/>
    <w:rsid w:val="00D64339"/>
    <w:rsid w:val="00D7068C"/>
    <w:rsid w:val="00D74FB2"/>
    <w:rsid w:val="00D75F0F"/>
    <w:rsid w:val="00DB2C78"/>
    <w:rsid w:val="00DB2F7C"/>
    <w:rsid w:val="00DB35B2"/>
    <w:rsid w:val="00DC0D64"/>
    <w:rsid w:val="00DC7EEA"/>
    <w:rsid w:val="00DD12E9"/>
    <w:rsid w:val="00DE5B28"/>
    <w:rsid w:val="00DF708E"/>
    <w:rsid w:val="00E00E46"/>
    <w:rsid w:val="00E037CB"/>
    <w:rsid w:val="00E17E95"/>
    <w:rsid w:val="00E21B90"/>
    <w:rsid w:val="00E23A83"/>
    <w:rsid w:val="00E25E18"/>
    <w:rsid w:val="00E31BC1"/>
    <w:rsid w:val="00E33661"/>
    <w:rsid w:val="00E372D7"/>
    <w:rsid w:val="00E41AD8"/>
    <w:rsid w:val="00E45972"/>
    <w:rsid w:val="00E924C8"/>
    <w:rsid w:val="00EB5713"/>
    <w:rsid w:val="00EC18E2"/>
    <w:rsid w:val="00EC36FE"/>
    <w:rsid w:val="00EC3CA2"/>
    <w:rsid w:val="00ED1E9F"/>
    <w:rsid w:val="00ED2D2C"/>
    <w:rsid w:val="00EE7736"/>
    <w:rsid w:val="00EF1101"/>
    <w:rsid w:val="00EF42F8"/>
    <w:rsid w:val="00EF5321"/>
    <w:rsid w:val="00F13878"/>
    <w:rsid w:val="00F14320"/>
    <w:rsid w:val="00F25DD4"/>
    <w:rsid w:val="00F31D90"/>
    <w:rsid w:val="00F42415"/>
    <w:rsid w:val="00F479B3"/>
    <w:rsid w:val="00F55E57"/>
    <w:rsid w:val="00F8269A"/>
    <w:rsid w:val="00F91638"/>
    <w:rsid w:val="00FA0B17"/>
    <w:rsid w:val="00FC3BE2"/>
    <w:rsid w:val="00FD03D7"/>
    <w:rsid w:val="00FD1C42"/>
    <w:rsid w:val="00FD3FC4"/>
    <w:rsid w:val="00FF075D"/>
    <w:rsid w:val="00FF1A79"/>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0E35"/>
  <w15:chartTrackingRefBased/>
  <w15:docId w15:val="{316D01EF-01E5-4866-ADFF-F25F23A2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9E"/>
    <w:rPr>
      <w:b/>
      <w:bCs/>
    </w:rPr>
  </w:style>
  <w:style w:type="paragraph" w:styleId="NormalWeb">
    <w:name w:val="Normal (Web)"/>
    <w:basedOn w:val="Normal"/>
    <w:uiPriority w:val="99"/>
    <w:semiHidden/>
    <w:unhideWhenUsed/>
    <w:rsid w:val="00A06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78B"/>
    <w:rPr>
      <w:color w:val="0000FF"/>
      <w:u w:val="single"/>
    </w:rPr>
  </w:style>
  <w:style w:type="character" w:styleId="UnresolvedMention">
    <w:name w:val="Unresolved Mention"/>
    <w:basedOn w:val="DefaultParagraphFont"/>
    <w:uiPriority w:val="99"/>
    <w:semiHidden/>
    <w:unhideWhenUsed/>
    <w:rsid w:val="00C3678B"/>
    <w:rPr>
      <w:color w:val="605E5C"/>
      <w:shd w:val="clear" w:color="auto" w:fill="E1DFDD"/>
    </w:rPr>
  </w:style>
  <w:style w:type="character" w:styleId="Emphasis">
    <w:name w:val="Emphasis"/>
    <w:basedOn w:val="DefaultParagraphFont"/>
    <w:uiPriority w:val="20"/>
    <w:qFormat/>
    <w:rsid w:val="00BD496D"/>
    <w:rPr>
      <w:i/>
      <w:iCs/>
    </w:rPr>
  </w:style>
  <w:style w:type="paragraph" w:styleId="Header">
    <w:name w:val="header"/>
    <w:basedOn w:val="Normal"/>
    <w:link w:val="HeaderChar"/>
    <w:uiPriority w:val="99"/>
    <w:unhideWhenUsed/>
    <w:rsid w:val="0011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4C"/>
  </w:style>
  <w:style w:type="paragraph" w:styleId="Footer">
    <w:name w:val="footer"/>
    <w:basedOn w:val="Normal"/>
    <w:link w:val="FooterChar"/>
    <w:uiPriority w:val="99"/>
    <w:unhideWhenUsed/>
    <w:rsid w:val="0011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4C"/>
  </w:style>
  <w:style w:type="paragraph" w:styleId="ListParagraph">
    <w:name w:val="List Paragraph"/>
    <w:basedOn w:val="Normal"/>
    <w:uiPriority w:val="34"/>
    <w:qFormat/>
    <w:rsid w:val="00D7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4188">
      <w:bodyDiv w:val="1"/>
      <w:marLeft w:val="0"/>
      <w:marRight w:val="0"/>
      <w:marTop w:val="0"/>
      <w:marBottom w:val="0"/>
      <w:divBdr>
        <w:top w:val="none" w:sz="0" w:space="0" w:color="auto"/>
        <w:left w:val="none" w:sz="0" w:space="0" w:color="auto"/>
        <w:bottom w:val="none" w:sz="0" w:space="0" w:color="auto"/>
        <w:right w:val="none" w:sz="0" w:space="0" w:color="auto"/>
      </w:divBdr>
    </w:div>
    <w:div w:id="459691914">
      <w:bodyDiv w:val="1"/>
      <w:marLeft w:val="0"/>
      <w:marRight w:val="0"/>
      <w:marTop w:val="0"/>
      <w:marBottom w:val="0"/>
      <w:divBdr>
        <w:top w:val="none" w:sz="0" w:space="0" w:color="auto"/>
        <w:left w:val="none" w:sz="0" w:space="0" w:color="auto"/>
        <w:bottom w:val="none" w:sz="0" w:space="0" w:color="auto"/>
        <w:right w:val="none" w:sz="0" w:space="0" w:color="auto"/>
      </w:divBdr>
    </w:div>
    <w:div w:id="765075238">
      <w:bodyDiv w:val="1"/>
      <w:marLeft w:val="0"/>
      <w:marRight w:val="0"/>
      <w:marTop w:val="0"/>
      <w:marBottom w:val="0"/>
      <w:divBdr>
        <w:top w:val="none" w:sz="0" w:space="0" w:color="auto"/>
        <w:left w:val="none" w:sz="0" w:space="0" w:color="auto"/>
        <w:bottom w:val="none" w:sz="0" w:space="0" w:color="auto"/>
        <w:right w:val="none" w:sz="0" w:space="0" w:color="auto"/>
      </w:divBdr>
    </w:div>
    <w:div w:id="1234270070">
      <w:bodyDiv w:val="1"/>
      <w:marLeft w:val="0"/>
      <w:marRight w:val="0"/>
      <w:marTop w:val="0"/>
      <w:marBottom w:val="0"/>
      <w:divBdr>
        <w:top w:val="none" w:sz="0" w:space="0" w:color="auto"/>
        <w:left w:val="none" w:sz="0" w:space="0" w:color="auto"/>
        <w:bottom w:val="none" w:sz="0" w:space="0" w:color="auto"/>
        <w:right w:val="none" w:sz="0" w:space="0" w:color="auto"/>
      </w:divBdr>
    </w:div>
    <w:div w:id="1424956660">
      <w:bodyDiv w:val="1"/>
      <w:marLeft w:val="0"/>
      <w:marRight w:val="0"/>
      <w:marTop w:val="0"/>
      <w:marBottom w:val="0"/>
      <w:divBdr>
        <w:top w:val="none" w:sz="0" w:space="0" w:color="auto"/>
        <w:left w:val="none" w:sz="0" w:space="0" w:color="auto"/>
        <w:bottom w:val="none" w:sz="0" w:space="0" w:color="auto"/>
        <w:right w:val="none" w:sz="0" w:space="0" w:color="auto"/>
      </w:divBdr>
    </w:div>
    <w:div w:id="1455782306">
      <w:bodyDiv w:val="1"/>
      <w:marLeft w:val="0"/>
      <w:marRight w:val="0"/>
      <w:marTop w:val="0"/>
      <w:marBottom w:val="0"/>
      <w:divBdr>
        <w:top w:val="none" w:sz="0" w:space="0" w:color="auto"/>
        <w:left w:val="none" w:sz="0" w:space="0" w:color="auto"/>
        <w:bottom w:val="none" w:sz="0" w:space="0" w:color="auto"/>
        <w:right w:val="none" w:sz="0" w:space="0" w:color="auto"/>
      </w:divBdr>
    </w:div>
    <w:div w:id="1630741632">
      <w:bodyDiv w:val="1"/>
      <w:marLeft w:val="0"/>
      <w:marRight w:val="0"/>
      <w:marTop w:val="0"/>
      <w:marBottom w:val="0"/>
      <w:divBdr>
        <w:top w:val="none" w:sz="0" w:space="0" w:color="auto"/>
        <w:left w:val="none" w:sz="0" w:space="0" w:color="auto"/>
        <w:bottom w:val="none" w:sz="0" w:space="0" w:color="auto"/>
        <w:right w:val="none" w:sz="0" w:space="0" w:color="auto"/>
      </w:divBdr>
    </w:div>
    <w:div w:id="17453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6E01A6A57A147A7D87E290D343C43" ma:contentTypeVersion="11" ma:contentTypeDescription="Create a new document." ma:contentTypeScope="" ma:versionID="7296414984b94d052d127c68b4faa2bc">
  <xsd:schema xmlns:xsd="http://www.w3.org/2001/XMLSchema" xmlns:xs="http://www.w3.org/2001/XMLSchema" xmlns:p="http://schemas.microsoft.com/office/2006/metadata/properties" xmlns:ns3="5dfcec9a-fd0b-4f39-a466-32e6d780c32b" xmlns:ns4="08da1290-f28e-4fd6-8ff7-e0e2f3ba1437" targetNamespace="http://schemas.microsoft.com/office/2006/metadata/properties" ma:root="true" ma:fieldsID="66f6dbc1c75355fe8928f004a55d8a82" ns3:_="" ns4:_="">
    <xsd:import namespace="5dfcec9a-fd0b-4f39-a466-32e6d780c32b"/>
    <xsd:import namespace="08da1290-f28e-4fd6-8ff7-e0e2f3ba1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cec9a-fd0b-4f39-a466-32e6d780c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a1290-f28e-4fd6-8ff7-e0e2f3ba14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D671-2EFD-4052-BAEB-788C63E7E37D}">
  <ds:schemaRefs>
    <ds:schemaRef ds:uri="http://schemas.microsoft.com/sharepoint/v3/contenttype/forms"/>
  </ds:schemaRefs>
</ds:datastoreItem>
</file>

<file path=customXml/itemProps2.xml><?xml version="1.0" encoding="utf-8"?>
<ds:datastoreItem xmlns:ds="http://schemas.openxmlformats.org/officeDocument/2006/customXml" ds:itemID="{C8EA4639-4B74-4C4F-9DCE-15D3A20F9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C47D3-23EA-4D44-9212-A778F7DF4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cec9a-fd0b-4f39-a466-32e6d780c32b"/>
    <ds:schemaRef ds:uri="08da1290-f28e-4fd6-8ff7-e0e2f3ba1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2AC79-16DB-4C02-86E4-117E66F3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Iesha People</dc:creator>
  <cp:keywords/>
  <dc:description/>
  <cp:lastModifiedBy>Iesha People</cp:lastModifiedBy>
  <cp:revision>287</cp:revision>
  <dcterms:created xsi:type="dcterms:W3CDTF">2019-08-02T09:55:00Z</dcterms:created>
  <dcterms:modified xsi:type="dcterms:W3CDTF">2020-09-04T15:21:00Z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0x010100DFD6E01A6A57A147A7D87E290D343C43</vt:lpwstr>
  </property>
</Properties>
</file>