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1DF4" w14:textId="245411FC" w:rsidR="003F6BBA" w:rsidRDefault="003F6BBA" w:rsidP="000C5044">
      <w:pPr>
        <w:pStyle w:val="NoSpacing"/>
        <w:rPr>
          <w:rFonts w:ascii="Arial" w:hAnsi="Arial" w:cs="Arial"/>
          <w:color w:val="757575"/>
          <w:sz w:val="20"/>
          <w:szCs w:val="20"/>
          <w:shd w:val="clear" w:color="auto" w:fill="FFFFFF"/>
        </w:rPr>
      </w:pPr>
      <w:r w:rsidRPr="00C3678B">
        <w:rPr>
          <w:noProof/>
          <w:lang w:val="en-US"/>
        </w:rPr>
        <mc:AlternateContent>
          <mc:Choice Requires="wps">
            <w:drawing>
              <wp:anchor distT="45720" distB="45720" distL="114300" distR="114300" simplePos="0" relativeHeight="251650560" behindDoc="0" locked="0" layoutInCell="1" allowOverlap="1" wp14:anchorId="452EA4A5" wp14:editId="42A034E0">
                <wp:simplePos x="0" y="0"/>
                <wp:positionH relativeFrom="margin">
                  <wp:align>center</wp:align>
                </wp:positionH>
                <wp:positionV relativeFrom="paragraph">
                  <wp:posOffset>-88900</wp:posOffset>
                </wp:positionV>
                <wp:extent cx="765810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228725"/>
                        </a:xfrm>
                        <a:prstGeom prst="rect">
                          <a:avLst/>
                        </a:prstGeom>
                        <a:solidFill>
                          <a:srgbClr val="002060"/>
                        </a:solidFill>
                        <a:ln w="57150">
                          <a:noFill/>
                          <a:miter lim="800000"/>
                          <a:headEnd/>
                          <a:tailEnd/>
                        </a:ln>
                      </wps:spPr>
                      <wps:txb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52E677D3" w:rsidR="00C3678B" w:rsidRPr="00E45972" w:rsidRDefault="00681FB8" w:rsidP="00C3678B">
                            <w:pPr>
                              <w:jc w:val="center"/>
                              <w:rPr>
                                <w:rFonts w:ascii="Georgia" w:hAnsi="Georgia"/>
                                <w:sz w:val="28"/>
                                <w:szCs w:val="28"/>
                              </w:rPr>
                            </w:pPr>
                            <w:r>
                              <w:rPr>
                                <w:rFonts w:ascii="Georgia" w:hAnsi="Georgia"/>
                                <w:sz w:val="28"/>
                                <w:szCs w:val="28"/>
                              </w:rPr>
                              <w:t>1</w:t>
                            </w:r>
                            <w:r w:rsidR="004F70A5">
                              <w:rPr>
                                <w:rFonts w:ascii="Georgia" w:hAnsi="Georgia"/>
                                <w:sz w:val="28"/>
                                <w:szCs w:val="28"/>
                              </w:rPr>
                              <w:t>4</w:t>
                            </w:r>
                            <w:r w:rsidR="004F70A5" w:rsidRPr="004F70A5">
                              <w:rPr>
                                <w:rFonts w:ascii="Georgia" w:hAnsi="Georgia"/>
                                <w:sz w:val="28"/>
                                <w:szCs w:val="28"/>
                                <w:vertAlign w:val="superscript"/>
                              </w:rPr>
                              <w:t>th</w:t>
                            </w:r>
                            <w:r w:rsidR="004F70A5">
                              <w:rPr>
                                <w:rFonts w:ascii="Georgia" w:hAnsi="Georgia"/>
                                <w:sz w:val="28"/>
                                <w:szCs w:val="28"/>
                              </w:rPr>
                              <w:t xml:space="preserve"> January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EA4A5" id="_x0000_t202" coordsize="21600,21600" o:spt="202" path="m,l,21600r21600,l21600,xe">
                <v:stroke joinstyle="miter"/>
                <v:path gradientshapeok="t" o:connecttype="rect"/>
              </v:shapetype>
              <v:shape id="Text Box 2" o:spid="_x0000_s1026" type="#_x0000_t202" style="position:absolute;margin-left:0;margin-top:-7pt;width:603pt;height:96.75pt;z-index:251650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" fillcolor="#002060" stroked="f" strokeweight="4.5pt">
                <v:textbo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52E677D3" w:rsidR="00C3678B" w:rsidRPr="00E45972" w:rsidRDefault="00681FB8" w:rsidP="00C3678B">
                      <w:pPr>
                        <w:jc w:val="center"/>
                        <w:rPr>
                          <w:rFonts w:ascii="Georgia" w:hAnsi="Georgia"/>
                          <w:sz w:val="28"/>
                          <w:szCs w:val="28"/>
                        </w:rPr>
                      </w:pPr>
                      <w:r>
                        <w:rPr>
                          <w:rFonts w:ascii="Georgia" w:hAnsi="Georgia"/>
                          <w:sz w:val="28"/>
                          <w:szCs w:val="28"/>
                        </w:rPr>
                        <w:t>1</w:t>
                      </w:r>
                      <w:r w:rsidR="004F70A5">
                        <w:rPr>
                          <w:rFonts w:ascii="Georgia" w:hAnsi="Georgia"/>
                          <w:sz w:val="28"/>
                          <w:szCs w:val="28"/>
                        </w:rPr>
                        <w:t>4</w:t>
                      </w:r>
                      <w:r w:rsidR="004F70A5" w:rsidRPr="004F70A5">
                        <w:rPr>
                          <w:rFonts w:ascii="Georgia" w:hAnsi="Georgia"/>
                          <w:sz w:val="28"/>
                          <w:szCs w:val="28"/>
                          <w:vertAlign w:val="superscript"/>
                        </w:rPr>
                        <w:t>th</w:t>
                      </w:r>
                      <w:r w:rsidR="004F70A5">
                        <w:rPr>
                          <w:rFonts w:ascii="Georgia" w:hAnsi="Georgia"/>
                          <w:sz w:val="28"/>
                          <w:szCs w:val="28"/>
                        </w:rPr>
                        <w:t xml:space="preserve"> January 2022</w:t>
                      </w:r>
                    </w:p>
                  </w:txbxContent>
                </v:textbox>
                <w10:wrap anchorx="margin"/>
              </v:shape>
            </w:pict>
          </mc:Fallback>
        </mc:AlternateContent>
      </w:r>
    </w:p>
    <w:p w14:paraId="4587C694" w14:textId="41EBB32B" w:rsidR="003F6BBA" w:rsidRDefault="003F6BBA" w:rsidP="003952EE">
      <w:pPr>
        <w:spacing w:line="240" w:lineRule="auto"/>
        <w:rPr>
          <w:rFonts w:ascii="Arial" w:hAnsi="Arial" w:cs="Arial"/>
          <w:color w:val="757575"/>
          <w:sz w:val="20"/>
          <w:szCs w:val="20"/>
          <w:shd w:val="clear" w:color="auto" w:fill="FFFFFF"/>
        </w:rPr>
      </w:pPr>
    </w:p>
    <w:p w14:paraId="3AA9F638" w14:textId="4BA012B5" w:rsidR="003F6BBA" w:rsidRDefault="003F6BBA" w:rsidP="003952EE">
      <w:pPr>
        <w:spacing w:line="240" w:lineRule="auto"/>
        <w:rPr>
          <w:rFonts w:ascii="Arial" w:hAnsi="Arial" w:cs="Arial"/>
          <w:color w:val="757575"/>
          <w:sz w:val="20"/>
          <w:szCs w:val="20"/>
          <w:shd w:val="clear" w:color="auto" w:fill="FFFFFF"/>
        </w:rPr>
      </w:pPr>
    </w:p>
    <w:p w14:paraId="2D884351" w14:textId="49FDFE04" w:rsidR="003F6BBA" w:rsidRDefault="003F6BBA" w:rsidP="003952EE">
      <w:pPr>
        <w:spacing w:line="240" w:lineRule="auto"/>
        <w:rPr>
          <w:rFonts w:ascii="Arial" w:hAnsi="Arial" w:cs="Arial"/>
          <w:color w:val="757575"/>
          <w:sz w:val="20"/>
          <w:szCs w:val="20"/>
          <w:shd w:val="clear" w:color="auto" w:fill="FFFFFF"/>
        </w:rPr>
      </w:pPr>
    </w:p>
    <w:p w14:paraId="7C2A2908" w14:textId="4FB6A5C2" w:rsidR="003F6BBA" w:rsidRDefault="003F6BBA" w:rsidP="003952EE">
      <w:pPr>
        <w:spacing w:line="240" w:lineRule="auto"/>
        <w:rPr>
          <w:rFonts w:ascii="Arial" w:hAnsi="Arial" w:cs="Arial"/>
          <w:color w:val="757575"/>
          <w:sz w:val="20"/>
          <w:szCs w:val="20"/>
          <w:shd w:val="clear" w:color="auto" w:fill="FFFFFF"/>
        </w:rPr>
      </w:pPr>
    </w:p>
    <w:p w14:paraId="3683C1A4" w14:textId="171AE894" w:rsidR="00E44CBE" w:rsidRDefault="00E44CBE" w:rsidP="003952EE">
      <w:pPr>
        <w:spacing w:line="240" w:lineRule="auto"/>
        <w:rPr>
          <w:rFonts w:ascii="Arial" w:hAnsi="Arial" w:cs="Arial"/>
          <w:color w:val="757575"/>
          <w:sz w:val="20"/>
          <w:szCs w:val="20"/>
          <w:shd w:val="clear" w:color="auto" w:fill="FFFFFF"/>
        </w:rPr>
      </w:pPr>
      <w:r w:rsidRPr="00E44CBE">
        <w:rPr>
          <w:rFonts w:ascii="Arial" w:hAnsi="Arial" w:cs="Arial"/>
          <w:color w:val="757575"/>
          <w:sz w:val="20"/>
          <w:szCs w:val="20"/>
          <w:shd w:val="clear" w:color="auto" w:fill="FFFFFF"/>
        </w:rPr>
        <w:t xml:space="preserve">Energy bills are driven by both the price of energy on the wholesale market and Third-Party Costs (TPCs). TPCs include non-energy costs set by the government, network (the National Grid), policy and system costs and electricity transmission/distribution costs. </w:t>
      </w:r>
    </w:p>
    <w:p w14:paraId="6EA6C30A" w14:textId="6CFD119A" w:rsidR="005313F5" w:rsidRPr="005313F5"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The biggest single cost on a bill is the price of the energy. The wholesale cost of the energy makes up approximately 4</w:t>
      </w:r>
      <w:r w:rsidR="00BF0388">
        <w:rPr>
          <w:rFonts w:ascii="Arial" w:hAnsi="Arial" w:cs="Arial"/>
          <w:color w:val="757575"/>
          <w:sz w:val="20"/>
          <w:szCs w:val="20"/>
          <w:shd w:val="clear" w:color="auto" w:fill="FFFFFF"/>
        </w:rPr>
        <w:t>0</w:t>
      </w:r>
      <w:r w:rsidRPr="005313F5">
        <w:rPr>
          <w:rFonts w:ascii="Arial" w:hAnsi="Arial" w:cs="Arial"/>
          <w:color w:val="757575"/>
          <w:sz w:val="20"/>
          <w:szCs w:val="20"/>
          <w:shd w:val="clear" w:color="auto" w:fill="FFFFFF"/>
        </w:rPr>
        <w:t xml:space="preserve">% of </w:t>
      </w:r>
      <w:r w:rsidRPr="00D74FB2">
        <w:rPr>
          <w:rFonts w:ascii="Arial" w:hAnsi="Arial" w:cs="Arial"/>
          <w:color w:val="757575"/>
          <w:sz w:val="20"/>
          <w:szCs w:val="20"/>
          <w:shd w:val="clear" w:color="auto" w:fill="FFFFFF"/>
        </w:rPr>
        <w:t>an electricity</w:t>
      </w:r>
      <w:r w:rsidRPr="005313F5">
        <w:rPr>
          <w:rFonts w:ascii="Arial" w:hAnsi="Arial" w:cs="Arial"/>
          <w:color w:val="757575"/>
          <w:sz w:val="20"/>
          <w:szCs w:val="20"/>
          <w:shd w:val="clear" w:color="auto" w:fill="FFFFFF"/>
        </w:rPr>
        <w:t xml:space="preserve"> bill and </w:t>
      </w:r>
      <w:r w:rsidR="00BF0388">
        <w:rPr>
          <w:rFonts w:ascii="Arial" w:hAnsi="Arial" w:cs="Arial"/>
          <w:color w:val="757575"/>
          <w:sz w:val="20"/>
          <w:szCs w:val="20"/>
          <w:shd w:val="clear" w:color="auto" w:fill="FFFFFF"/>
        </w:rPr>
        <w:t>70</w:t>
      </w:r>
      <w:r w:rsidRPr="005313F5">
        <w:rPr>
          <w:rFonts w:ascii="Arial" w:hAnsi="Arial" w:cs="Arial"/>
          <w:color w:val="757575"/>
          <w:sz w:val="20"/>
          <w:szCs w:val="20"/>
          <w:shd w:val="clear" w:color="auto" w:fill="FFFFFF"/>
        </w:rPr>
        <w:t>% of a gas bill, with the remaining being TPCs, which have been continuously rising in recent years and can be volatile.</w:t>
      </w:r>
    </w:p>
    <w:p w14:paraId="7B694C6F" w14:textId="61861EF7" w:rsidR="00AF614F" w:rsidRPr="00215E06" w:rsidRDefault="005313F5" w:rsidP="00215E06">
      <w:pPr>
        <w:spacing w:before="240" w:after="0" w:line="240" w:lineRule="auto"/>
        <w:rPr>
          <w:rStyle w:val="Strong"/>
          <w:rFonts w:ascii="Arial" w:hAnsi="Arial" w:cs="Arial"/>
          <w:b w:val="0"/>
          <w:bCs w:val="0"/>
          <w:color w:val="757575"/>
          <w:sz w:val="20"/>
          <w:szCs w:val="20"/>
          <w:shd w:val="clear" w:color="auto" w:fill="FFFFFF"/>
        </w:rPr>
      </w:pPr>
      <w:r w:rsidRPr="005313F5">
        <w:rPr>
          <w:rFonts w:ascii="Arial" w:hAnsi="Arial" w:cs="Arial"/>
          <w:color w:val="757575"/>
          <w:sz w:val="20"/>
          <w:szCs w:val="20"/>
          <w:shd w:val="clear" w:color="auto" w:fill="FFFFFF"/>
        </w:rPr>
        <w:t xml:space="preserve">This pricing report </w:t>
      </w:r>
      <w:r w:rsidR="00774B0C">
        <w:rPr>
          <w:rFonts w:ascii="Arial" w:hAnsi="Arial" w:cs="Arial"/>
          <w:color w:val="757575"/>
          <w:sz w:val="20"/>
          <w:szCs w:val="20"/>
          <w:shd w:val="clear" w:color="auto" w:fill="FFFFFF"/>
        </w:rPr>
        <w:t>will focus</w:t>
      </w:r>
      <w:r w:rsidRPr="005313F5">
        <w:rPr>
          <w:rFonts w:ascii="Arial" w:hAnsi="Arial" w:cs="Arial"/>
          <w:color w:val="757575"/>
          <w:sz w:val="20"/>
          <w:szCs w:val="20"/>
          <w:shd w:val="clear" w:color="auto" w:fill="FFFFFF"/>
        </w:rPr>
        <w:t xml:space="preserve"> on the energy element of a bill to help you keep track and understand the wholesale energy market and the factors affecting the price of your contracts.</w:t>
      </w:r>
    </w:p>
    <w:p w14:paraId="7755CF1A" w14:textId="1034C49F" w:rsidR="00E96113" w:rsidRDefault="00E96113" w:rsidP="00FF1A79">
      <w:pPr>
        <w:spacing w:after="0" w:line="240" w:lineRule="auto"/>
        <w:rPr>
          <w:rStyle w:val="Strong"/>
          <w:rFonts w:ascii="Georgia" w:hAnsi="Georgia"/>
          <w:color w:val="ED273E"/>
          <w:sz w:val="27"/>
          <w:szCs w:val="27"/>
          <w:shd w:val="clear" w:color="auto" w:fill="FFFFFF"/>
        </w:rPr>
      </w:pPr>
    </w:p>
    <w:p w14:paraId="5367C354" w14:textId="4EBD56DD" w:rsidR="0069320D" w:rsidRDefault="0069320D" w:rsidP="00FF1A79">
      <w:pPr>
        <w:spacing w:after="0" w:line="240" w:lineRule="auto"/>
        <w:rPr>
          <w:rStyle w:val="Strong"/>
          <w:rFonts w:ascii="Georgia" w:hAnsi="Georgia"/>
          <w:color w:val="ED273E"/>
          <w:sz w:val="27"/>
          <w:szCs w:val="27"/>
          <w:shd w:val="clear" w:color="auto" w:fill="FFFFFF"/>
        </w:rPr>
      </w:pPr>
    </w:p>
    <w:p w14:paraId="50BA44F6" w14:textId="77777777" w:rsidR="0069320D" w:rsidRDefault="0069320D" w:rsidP="00FF1A79">
      <w:pPr>
        <w:spacing w:after="0" w:line="240" w:lineRule="auto"/>
        <w:rPr>
          <w:rStyle w:val="Strong"/>
          <w:rFonts w:ascii="Georgia" w:hAnsi="Georgia"/>
          <w:color w:val="ED273E"/>
          <w:sz w:val="27"/>
          <w:szCs w:val="27"/>
          <w:shd w:val="clear" w:color="auto" w:fill="FFFFFF"/>
        </w:rPr>
      </w:pPr>
    </w:p>
    <w:p w14:paraId="122765A6" w14:textId="188C80EE" w:rsidR="00FF1A79" w:rsidRDefault="00696612" w:rsidP="00FF1A79">
      <w:pPr>
        <w:spacing w:after="0" w:line="240" w:lineRule="auto"/>
        <w:rPr>
          <w:rStyle w:val="Strong"/>
          <w:rFonts w:ascii="Georgia" w:hAnsi="Georgia"/>
          <w:color w:val="ED273E"/>
          <w:sz w:val="27"/>
          <w:szCs w:val="27"/>
          <w:shd w:val="clear" w:color="auto" w:fill="FFFFFF"/>
        </w:rPr>
      </w:pPr>
      <w:r w:rsidRPr="00696612">
        <w:rPr>
          <w:rStyle w:val="Strong"/>
          <w:rFonts w:ascii="Georgia" w:hAnsi="Georgia"/>
          <w:color w:val="ED273E"/>
          <w:sz w:val="27"/>
          <w:szCs w:val="27"/>
          <w:shd w:val="clear" w:color="auto" w:fill="FFFFFF"/>
        </w:rPr>
        <w:t>Ov</w:t>
      </w:r>
      <w:r w:rsidRPr="00FF1A79">
        <w:rPr>
          <w:rStyle w:val="Strong"/>
          <w:rFonts w:ascii="Georgia" w:hAnsi="Georgia"/>
          <w:color w:val="ED273E"/>
          <w:sz w:val="27"/>
          <w:szCs w:val="27"/>
          <w:shd w:val="clear" w:color="auto" w:fill="FFFFFF"/>
        </w:rPr>
        <w:t>ervie</w:t>
      </w:r>
      <w:r w:rsidRPr="00696612">
        <w:rPr>
          <w:rStyle w:val="Strong"/>
          <w:rFonts w:ascii="Georgia" w:hAnsi="Georgia"/>
          <w:color w:val="ED273E"/>
          <w:sz w:val="27"/>
          <w:szCs w:val="27"/>
          <w:shd w:val="clear" w:color="auto" w:fill="FFFFFF"/>
        </w:rPr>
        <w:t>w:</w:t>
      </w:r>
    </w:p>
    <w:p w14:paraId="1127743F" w14:textId="77777777" w:rsidR="004F70A5" w:rsidRPr="004F70A5" w:rsidRDefault="004F70A5" w:rsidP="004F70A5">
      <w:pPr>
        <w:spacing w:after="0" w:line="240" w:lineRule="auto"/>
        <w:rPr>
          <w:rStyle w:val="Strong"/>
          <w:rFonts w:ascii="Arial" w:hAnsi="Arial" w:cs="Arial"/>
          <w:b w:val="0"/>
          <w:bCs w:val="0"/>
          <w:color w:val="757575"/>
          <w:sz w:val="20"/>
          <w:szCs w:val="20"/>
          <w:shd w:val="clear" w:color="auto" w:fill="FFFFFF"/>
        </w:rPr>
      </w:pPr>
      <w:r w:rsidRPr="004F70A5">
        <w:rPr>
          <w:rStyle w:val="Strong"/>
          <w:rFonts w:ascii="Arial" w:hAnsi="Arial" w:cs="Arial"/>
          <w:b w:val="0"/>
          <w:bCs w:val="0"/>
          <w:color w:val="757575"/>
          <w:sz w:val="20"/>
          <w:szCs w:val="20"/>
          <w:shd w:val="clear" w:color="auto" w:fill="FFFFFF"/>
        </w:rPr>
        <w:t>Last year saw the market price for gas reach unprecedented highs, energy bills increased for millions of customers and over 25 energy suppliers collapsed as the market went through one of its most tumultuous years in 2021.</w:t>
      </w:r>
    </w:p>
    <w:p w14:paraId="31A340B9" w14:textId="77777777" w:rsidR="004F70A5" w:rsidRPr="004F70A5" w:rsidRDefault="004F70A5" w:rsidP="004F70A5">
      <w:pPr>
        <w:spacing w:after="0" w:line="240" w:lineRule="auto"/>
        <w:rPr>
          <w:rStyle w:val="Strong"/>
          <w:rFonts w:ascii="Arial" w:hAnsi="Arial" w:cs="Arial"/>
          <w:b w:val="0"/>
          <w:bCs w:val="0"/>
          <w:color w:val="757575"/>
          <w:sz w:val="20"/>
          <w:szCs w:val="20"/>
          <w:shd w:val="clear" w:color="auto" w:fill="FFFFFF"/>
        </w:rPr>
      </w:pPr>
    </w:p>
    <w:p w14:paraId="5EF6B6A6" w14:textId="77777777" w:rsidR="004F70A5" w:rsidRPr="004F70A5" w:rsidRDefault="004F70A5" w:rsidP="004F70A5">
      <w:pPr>
        <w:spacing w:after="0" w:line="240" w:lineRule="auto"/>
        <w:rPr>
          <w:rStyle w:val="Strong"/>
          <w:rFonts w:ascii="Arial" w:hAnsi="Arial" w:cs="Arial"/>
          <w:b w:val="0"/>
          <w:bCs w:val="0"/>
          <w:color w:val="757575"/>
          <w:sz w:val="20"/>
          <w:szCs w:val="20"/>
          <w:shd w:val="clear" w:color="auto" w:fill="FFFFFF"/>
        </w:rPr>
      </w:pPr>
      <w:r w:rsidRPr="004F70A5">
        <w:rPr>
          <w:rStyle w:val="Strong"/>
          <w:rFonts w:ascii="Arial" w:hAnsi="Arial" w:cs="Arial"/>
          <w:b w:val="0"/>
          <w:bCs w:val="0"/>
          <w:color w:val="757575"/>
          <w:sz w:val="20"/>
          <w:szCs w:val="20"/>
          <w:shd w:val="clear" w:color="auto" w:fill="FFFFFF"/>
        </w:rPr>
        <w:t>These highs continued into 2022, due to energy stores being low since 2020, planned and unplanned outages and the colder winter month meaning there is more reliance on gas to meet both power and gas demand. </w:t>
      </w:r>
    </w:p>
    <w:p w14:paraId="39C9D60C" w14:textId="77777777" w:rsidR="004F70A5" w:rsidRPr="004F70A5" w:rsidRDefault="004F70A5" w:rsidP="004F70A5">
      <w:pPr>
        <w:spacing w:after="0" w:line="240" w:lineRule="auto"/>
        <w:rPr>
          <w:rStyle w:val="Strong"/>
          <w:rFonts w:ascii="Arial" w:hAnsi="Arial" w:cs="Arial"/>
          <w:b w:val="0"/>
          <w:bCs w:val="0"/>
          <w:color w:val="757575"/>
          <w:sz w:val="20"/>
          <w:szCs w:val="20"/>
          <w:shd w:val="clear" w:color="auto" w:fill="FFFFFF"/>
        </w:rPr>
      </w:pPr>
    </w:p>
    <w:p w14:paraId="0F2558BD" w14:textId="77777777" w:rsidR="004F70A5" w:rsidRPr="004F70A5" w:rsidRDefault="004F70A5" w:rsidP="004F70A5">
      <w:pPr>
        <w:spacing w:after="0" w:line="240" w:lineRule="auto"/>
        <w:rPr>
          <w:rStyle w:val="Strong"/>
          <w:rFonts w:ascii="Arial" w:hAnsi="Arial" w:cs="Arial"/>
          <w:b w:val="0"/>
          <w:bCs w:val="0"/>
          <w:color w:val="757575"/>
          <w:sz w:val="20"/>
          <w:szCs w:val="20"/>
          <w:shd w:val="clear" w:color="auto" w:fill="FFFFFF"/>
        </w:rPr>
      </w:pPr>
      <w:r w:rsidRPr="004F70A5">
        <w:rPr>
          <w:rStyle w:val="Strong"/>
          <w:rFonts w:ascii="Arial" w:hAnsi="Arial" w:cs="Arial"/>
          <w:b w:val="0"/>
          <w:bCs w:val="0"/>
          <w:color w:val="757575"/>
          <w:sz w:val="20"/>
          <w:szCs w:val="20"/>
          <w:shd w:val="clear" w:color="auto" w:fill="FFFFFF"/>
        </w:rPr>
        <w:t>Supply to Europe from Russia has continued to be restricted with Putin redirecting flows usually meant for Europe elsewhere, to help further push the Nord Stream 2 pipeline.</w:t>
      </w:r>
    </w:p>
    <w:p w14:paraId="26C9FDFD" w14:textId="77777777" w:rsidR="004F70A5" w:rsidRPr="004F70A5" w:rsidRDefault="004F70A5" w:rsidP="004F70A5">
      <w:pPr>
        <w:spacing w:after="0" w:line="240" w:lineRule="auto"/>
        <w:rPr>
          <w:rStyle w:val="Strong"/>
          <w:rFonts w:ascii="Arial" w:hAnsi="Arial" w:cs="Arial"/>
          <w:b w:val="0"/>
          <w:bCs w:val="0"/>
          <w:color w:val="757575"/>
          <w:sz w:val="20"/>
          <w:szCs w:val="20"/>
          <w:shd w:val="clear" w:color="auto" w:fill="FFFFFF"/>
        </w:rPr>
      </w:pPr>
    </w:p>
    <w:p w14:paraId="3B2C92F6" w14:textId="61336FD0" w:rsidR="005A254D" w:rsidRDefault="004F70A5" w:rsidP="004F70A5">
      <w:pPr>
        <w:spacing w:after="0" w:line="240" w:lineRule="auto"/>
        <w:rPr>
          <w:rStyle w:val="Strong"/>
          <w:rFonts w:ascii="Arial" w:hAnsi="Arial" w:cs="Arial"/>
          <w:b w:val="0"/>
          <w:bCs w:val="0"/>
          <w:color w:val="757575"/>
          <w:sz w:val="20"/>
          <w:szCs w:val="20"/>
          <w:shd w:val="clear" w:color="auto" w:fill="FFFFFF"/>
        </w:rPr>
      </w:pPr>
      <w:r w:rsidRPr="004F70A5">
        <w:rPr>
          <w:rStyle w:val="Strong"/>
          <w:rFonts w:ascii="Arial" w:hAnsi="Arial" w:cs="Arial"/>
          <w:b w:val="0"/>
          <w:bCs w:val="0"/>
          <w:color w:val="757575"/>
          <w:sz w:val="20"/>
          <w:szCs w:val="20"/>
          <w:shd w:val="clear" w:color="auto" w:fill="FFFFFF"/>
        </w:rPr>
        <w:t xml:space="preserve">We have started to see wholesale prices decrease slightly as we get further into 2022 however, Russian gas flows </w:t>
      </w:r>
      <w:r w:rsidR="0069320D" w:rsidRPr="004F70A5">
        <w:rPr>
          <w:rStyle w:val="Strong"/>
          <w:rFonts w:ascii="Arial" w:hAnsi="Arial" w:cs="Arial"/>
          <w:b w:val="0"/>
          <w:bCs w:val="0"/>
          <w:color w:val="757575"/>
          <w:sz w:val="20"/>
          <w:szCs w:val="20"/>
          <w:shd w:val="clear" w:color="auto" w:fill="FFFFFF"/>
        </w:rPr>
        <w:t>remain</w:t>
      </w:r>
      <w:r w:rsidRPr="004F70A5">
        <w:rPr>
          <w:rStyle w:val="Strong"/>
          <w:rFonts w:ascii="Arial" w:hAnsi="Arial" w:cs="Arial"/>
          <w:b w:val="0"/>
          <w:bCs w:val="0"/>
          <w:color w:val="757575"/>
          <w:sz w:val="20"/>
          <w:szCs w:val="20"/>
          <w:shd w:val="clear" w:color="auto" w:fill="FFFFFF"/>
        </w:rPr>
        <w:t xml:space="preserve"> limited into Europe, and it is difficult to predict what will happen with future energy prices given how volatile the market has been in the last six months. Energy prices do usually come down when the temperatures increase, but current trends suggest prices are still likely to be considerably higher in 2022 than pre-pandemic.</w:t>
      </w:r>
    </w:p>
    <w:p w14:paraId="7AEAE9E0" w14:textId="1F559359" w:rsidR="004F70A5" w:rsidRDefault="004F70A5" w:rsidP="004F70A5">
      <w:pPr>
        <w:spacing w:after="0" w:line="240" w:lineRule="auto"/>
        <w:rPr>
          <w:rStyle w:val="Strong"/>
          <w:rFonts w:ascii="Arial" w:hAnsi="Arial" w:cs="Arial"/>
          <w:color w:val="757575"/>
          <w:sz w:val="20"/>
          <w:szCs w:val="20"/>
          <w:shd w:val="clear" w:color="auto" w:fill="FFFFFF"/>
        </w:rPr>
      </w:pPr>
    </w:p>
    <w:p w14:paraId="3102736E" w14:textId="46132258" w:rsidR="0069320D" w:rsidRDefault="0069320D" w:rsidP="004F70A5">
      <w:pPr>
        <w:spacing w:after="0" w:line="240" w:lineRule="auto"/>
        <w:rPr>
          <w:rStyle w:val="Strong"/>
          <w:rFonts w:ascii="Arial" w:hAnsi="Arial" w:cs="Arial"/>
          <w:color w:val="757575"/>
          <w:sz w:val="20"/>
          <w:szCs w:val="20"/>
          <w:shd w:val="clear" w:color="auto" w:fill="FFFFFF"/>
        </w:rPr>
      </w:pPr>
    </w:p>
    <w:p w14:paraId="67196C93" w14:textId="77777777" w:rsidR="0069320D" w:rsidRDefault="0069320D" w:rsidP="004F70A5">
      <w:pPr>
        <w:spacing w:after="0" w:line="240" w:lineRule="auto"/>
        <w:rPr>
          <w:rStyle w:val="Strong"/>
          <w:rFonts w:ascii="Arial" w:hAnsi="Arial" w:cs="Arial"/>
          <w:color w:val="757575"/>
          <w:sz w:val="20"/>
          <w:szCs w:val="20"/>
          <w:shd w:val="clear" w:color="auto" w:fill="FFFFFF"/>
        </w:rPr>
      </w:pPr>
    </w:p>
    <w:p w14:paraId="6722CAFB" w14:textId="053AE4E8" w:rsidR="0019346D" w:rsidRPr="00300328" w:rsidRDefault="0040111A" w:rsidP="00300328">
      <w:pPr>
        <w:spacing w:after="0" w:line="240" w:lineRule="auto"/>
        <w:rPr>
          <w:rFonts w:ascii="Arial" w:hAnsi="Arial" w:cs="Arial"/>
          <w:b/>
          <w:bCs/>
          <w:color w:val="757575"/>
          <w:sz w:val="20"/>
          <w:szCs w:val="20"/>
          <w:shd w:val="clear" w:color="auto" w:fill="FFFFFF"/>
        </w:rPr>
      </w:pPr>
      <w:r w:rsidRPr="0040111A">
        <w:rPr>
          <w:rStyle w:val="Strong"/>
          <w:rFonts w:ascii="Arial" w:hAnsi="Arial" w:cs="Arial"/>
          <w:color w:val="757575"/>
          <w:sz w:val="20"/>
          <w:szCs w:val="20"/>
          <w:shd w:val="clear" w:color="auto" w:fill="FFFFFF"/>
        </w:rPr>
        <w:t>Bullish Factors (</w:t>
      </w:r>
      <w:r w:rsidRPr="0040111A">
        <w:rPr>
          <w:rStyle w:val="Strong"/>
          <w:rFonts w:ascii="Arial" w:hAnsi="Arial" w:cs="Arial"/>
          <w:i/>
          <w:iCs/>
          <w:color w:val="ED7D31" w:themeColor="accent2"/>
          <w:sz w:val="20"/>
          <w:szCs w:val="20"/>
          <w:shd w:val="clear" w:color="auto" w:fill="FFFFFF"/>
        </w:rPr>
        <w:t>upward</w:t>
      </w:r>
      <w:r w:rsidRPr="0040111A">
        <w:rPr>
          <w:rStyle w:val="Strong"/>
          <w:rFonts w:ascii="Arial" w:hAnsi="Arial" w:cs="Arial"/>
          <w:i/>
          <w:iCs/>
          <w:color w:val="757575"/>
          <w:sz w:val="20"/>
          <w:szCs w:val="20"/>
          <w:shd w:val="clear" w:color="auto" w:fill="FFFFFF"/>
        </w:rPr>
        <w:t> pressure</w:t>
      </w:r>
      <w:r w:rsidR="002463E7">
        <w:rPr>
          <w:rStyle w:val="Strong"/>
          <w:rFonts w:ascii="Arial" w:hAnsi="Arial" w:cs="Arial"/>
          <w:i/>
          <w:iCs/>
          <w:color w:val="757575"/>
          <w:sz w:val="20"/>
          <w:szCs w:val="20"/>
          <w:shd w:val="clear" w:color="auto" w:fill="FFFFFF"/>
        </w:rPr>
        <w:t xml:space="preserve"> on markets</w:t>
      </w:r>
      <w:r w:rsidRPr="0040111A">
        <w:rPr>
          <w:rStyle w:val="Strong"/>
          <w:rFonts w:ascii="Arial" w:hAnsi="Arial" w:cs="Arial"/>
          <w:color w:val="757575"/>
          <w:sz w:val="20"/>
          <w:szCs w:val="20"/>
          <w:shd w:val="clear" w:color="auto" w:fill="FFFFFF"/>
        </w:rPr>
        <w:t>):</w:t>
      </w:r>
    </w:p>
    <w:p w14:paraId="61624895" w14:textId="77777777" w:rsidR="0069320D" w:rsidRPr="0069320D" w:rsidRDefault="0069320D" w:rsidP="0069320D">
      <w:pPr>
        <w:pStyle w:val="ListParagraph"/>
        <w:numPr>
          <w:ilvl w:val="0"/>
          <w:numId w:val="5"/>
        </w:numPr>
        <w:spacing w:after="0" w:line="240" w:lineRule="auto"/>
        <w:rPr>
          <w:rFonts w:ascii="Arial" w:hAnsi="Arial" w:cs="Arial"/>
          <w:color w:val="757575"/>
          <w:sz w:val="20"/>
          <w:szCs w:val="20"/>
          <w:shd w:val="clear" w:color="auto" w:fill="FFFFFF"/>
        </w:rPr>
      </w:pPr>
      <w:r w:rsidRPr="0069320D">
        <w:rPr>
          <w:rFonts w:ascii="Arial" w:hAnsi="Arial" w:cs="Arial"/>
          <w:color w:val="757575"/>
          <w:sz w:val="20"/>
          <w:szCs w:val="20"/>
          <w:shd w:val="clear" w:color="auto" w:fill="FFFFFF"/>
        </w:rPr>
        <w:t>Russian flows to Europe remain restricted</w:t>
      </w:r>
    </w:p>
    <w:p w14:paraId="1287621C" w14:textId="77777777" w:rsidR="0069320D" w:rsidRPr="0069320D" w:rsidRDefault="0069320D" w:rsidP="0069320D">
      <w:pPr>
        <w:pStyle w:val="ListParagraph"/>
        <w:numPr>
          <w:ilvl w:val="0"/>
          <w:numId w:val="5"/>
        </w:numPr>
        <w:spacing w:after="0" w:line="240" w:lineRule="auto"/>
        <w:rPr>
          <w:rFonts w:ascii="Arial" w:hAnsi="Arial" w:cs="Arial"/>
          <w:color w:val="757575"/>
          <w:sz w:val="20"/>
          <w:szCs w:val="20"/>
          <w:shd w:val="clear" w:color="auto" w:fill="FFFFFF"/>
        </w:rPr>
      </w:pPr>
      <w:r w:rsidRPr="0069320D">
        <w:rPr>
          <w:rFonts w:ascii="Arial" w:hAnsi="Arial" w:cs="Arial"/>
          <w:color w:val="757575"/>
          <w:sz w:val="20"/>
          <w:szCs w:val="20"/>
          <w:shd w:val="clear" w:color="auto" w:fill="FFFFFF"/>
        </w:rPr>
        <w:t>Global concerns over the rising number of Omicron infection</w:t>
      </w:r>
    </w:p>
    <w:p w14:paraId="6ECB87D0" w14:textId="77777777" w:rsidR="0069320D" w:rsidRPr="0069320D" w:rsidRDefault="0069320D" w:rsidP="0069320D">
      <w:pPr>
        <w:pStyle w:val="ListParagraph"/>
        <w:numPr>
          <w:ilvl w:val="0"/>
          <w:numId w:val="5"/>
        </w:numPr>
        <w:spacing w:after="0" w:line="240" w:lineRule="auto"/>
        <w:rPr>
          <w:rFonts w:ascii="Arial" w:hAnsi="Arial" w:cs="Arial"/>
          <w:color w:val="757575"/>
          <w:sz w:val="20"/>
          <w:szCs w:val="20"/>
          <w:shd w:val="clear" w:color="auto" w:fill="FFFFFF"/>
        </w:rPr>
      </w:pPr>
      <w:r w:rsidRPr="0069320D">
        <w:rPr>
          <w:rFonts w:ascii="Arial" w:hAnsi="Arial" w:cs="Arial"/>
          <w:color w:val="757575"/>
          <w:sz w:val="20"/>
          <w:szCs w:val="20"/>
          <w:shd w:val="clear" w:color="auto" w:fill="FFFFFF"/>
        </w:rPr>
        <w:t>Wind generation below average</w:t>
      </w:r>
    </w:p>
    <w:p w14:paraId="26442E84" w14:textId="112626E2" w:rsidR="002C17D0" w:rsidRPr="0069320D" w:rsidRDefault="0069320D" w:rsidP="0069320D">
      <w:pPr>
        <w:pStyle w:val="ListParagraph"/>
        <w:numPr>
          <w:ilvl w:val="0"/>
          <w:numId w:val="5"/>
        </w:numPr>
        <w:spacing w:after="0" w:line="240" w:lineRule="auto"/>
        <w:rPr>
          <w:rStyle w:val="Strong"/>
          <w:rFonts w:ascii="Arial" w:hAnsi="Arial" w:cs="Arial"/>
          <w:color w:val="757575"/>
          <w:sz w:val="20"/>
          <w:szCs w:val="20"/>
          <w:shd w:val="clear" w:color="auto" w:fill="FFFFFF"/>
        </w:rPr>
      </w:pPr>
      <w:r w:rsidRPr="0069320D">
        <w:rPr>
          <w:rFonts w:ascii="Arial" w:hAnsi="Arial" w:cs="Arial"/>
          <w:color w:val="757575"/>
          <w:sz w:val="20"/>
          <w:szCs w:val="20"/>
          <w:shd w:val="clear" w:color="auto" w:fill="FFFFFF"/>
        </w:rPr>
        <w:t>Supply issues from Norway</w:t>
      </w:r>
    </w:p>
    <w:p w14:paraId="09614572" w14:textId="77777777" w:rsidR="0069320D" w:rsidRDefault="0069320D" w:rsidP="0040111A">
      <w:pPr>
        <w:spacing w:after="0" w:line="240" w:lineRule="auto"/>
        <w:rPr>
          <w:rStyle w:val="Strong"/>
          <w:rFonts w:ascii="Arial" w:hAnsi="Arial" w:cs="Arial"/>
          <w:color w:val="757575"/>
          <w:sz w:val="20"/>
          <w:szCs w:val="20"/>
          <w:shd w:val="clear" w:color="auto" w:fill="FFFFFF"/>
        </w:rPr>
      </w:pPr>
    </w:p>
    <w:p w14:paraId="06B66BE3" w14:textId="77777777" w:rsidR="0069320D" w:rsidRDefault="0069320D" w:rsidP="0040111A">
      <w:pPr>
        <w:spacing w:after="0" w:line="240" w:lineRule="auto"/>
        <w:rPr>
          <w:rStyle w:val="Strong"/>
          <w:rFonts w:ascii="Arial" w:hAnsi="Arial" w:cs="Arial"/>
          <w:color w:val="757575"/>
          <w:sz w:val="20"/>
          <w:szCs w:val="20"/>
          <w:shd w:val="clear" w:color="auto" w:fill="FFFFFF"/>
        </w:rPr>
      </w:pPr>
    </w:p>
    <w:p w14:paraId="51549132" w14:textId="73B1CA9A" w:rsidR="001A55DA" w:rsidRPr="00022632" w:rsidRDefault="001A55DA" w:rsidP="0040111A">
      <w:pPr>
        <w:spacing w:after="0" w:line="240" w:lineRule="auto"/>
        <w:rPr>
          <w:rStyle w:val="Strong"/>
          <w:rFonts w:ascii="Arial" w:hAnsi="Arial" w:cs="Arial"/>
          <w:color w:val="757575"/>
          <w:sz w:val="20"/>
          <w:szCs w:val="20"/>
          <w:shd w:val="clear" w:color="auto" w:fill="FFFFFF"/>
        </w:rPr>
      </w:pPr>
      <w:r w:rsidRPr="00022632">
        <w:rPr>
          <w:rStyle w:val="Strong"/>
          <w:rFonts w:ascii="Arial" w:hAnsi="Arial" w:cs="Arial"/>
          <w:color w:val="757575"/>
          <w:sz w:val="20"/>
          <w:szCs w:val="20"/>
          <w:shd w:val="clear" w:color="auto" w:fill="FFFFFF"/>
        </w:rPr>
        <w:t xml:space="preserve">Bearish Factors </w:t>
      </w:r>
      <w:r w:rsidRPr="00B516EA">
        <w:rPr>
          <w:rStyle w:val="Strong"/>
          <w:rFonts w:ascii="Arial" w:hAnsi="Arial" w:cs="Arial"/>
          <w:i/>
          <w:iCs/>
          <w:color w:val="757575"/>
          <w:sz w:val="20"/>
          <w:szCs w:val="20"/>
          <w:shd w:val="clear" w:color="auto" w:fill="FFFFFF"/>
        </w:rPr>
        <w:t>(</w:t>
      </w:r>
      <w:r w:rsidRPr="00B516EA">
        <w:rPr>
          <w:rStyle w:val="Strong"/>
          <w:rFonts w:ascii="Arial" w:hAnsi="Arial" w:cs="Arial"/>
          <w:i/>
          <w:iCs/>
          <w:color w:val="70AD47" w:themeColor="accent6"/>
          <w:sz w:val="20"/>
          <w:szCs w:val="20"/>
          <w:shd w:val="clear" w:color="auto" w:fill="FFFFFF"/>
        </w:rPr>
        <w:t>downward</w:t>
      </w:r>
      <w:r w:rsidRPr="00B516EA">
        <w:rPr>
          <w:rStyle w:val="Strong"/>
          <w:rFonts w:ascii="Arial" w:hAnsi="Arial" w:cs="Arial"/>
          <w:i/>
          <w:iCs/>
          <w:color w:val="757575"/>
          <w:sz w:val="20"/>
          <w:szCs w:val="20"/>
          <w:shd w:val="clear" w:color="auto" w:fill="FFFFFF"/>
        </w:rPr>
        <w:t xml:space="preserve"> pressure</w:t>
      </w:r>
      <w:r w:rsidR="00A55F41">
        <w:rPr>
          <w:rStyle w:val="Strong"/>
          <w:rFonts w:ascii="Arial" w:hAnsi="Arial" w:cs="Arial"/>
          <w:i/>
          <w:iCs/>
          <w:color w:val="757575"/>
          <w:sz w:val="20"/>
          <w:szCs w:val="20"/>
          <w:shd w:val="clear" w:color="auto" w:fill="FFFFFF"/>
        </w:rPr>
        <w:t xml:space="preserve"> on markets</w:t>
      </w:r>
      <w:r w:rsidRPr="00B516EA">
        <w:rPr>
          <w:rStyle w:val="Strong"/>
          <w:rFonts w:ascii="Arial" w:hAnsi="Arial" w:cs="Arial"/>
          <w:i/>
          <w:iCs/>
          <w:color w:val="757575"/>
          <w:sz w:val="20"/>
          <w:szCs w:val="20"/>
          <w:shd w:val="clear" w:color="auto" w:fill="FFFFFF"/>
        </w:rPr>
        <w:t>):</w:t>
      </w:r>
    </w:p>
    <w:p w14:paraId="657997B1" w14:textId="77777777" w:rsidR="0069320D" w:rsidRPr="0069320D" w:rsidRDefault="0069320D" w:rsidP="0069320D">
      <w:pPr>
        <w:pStyle w:val="ListParagraph"/>
        <w:numPr>
          <w:ilvl w:val="0"/>
          <w:numId w:val="6"/>
        </w:numPr>
        <w:spacing w:after="0"/>
        <w:rPr>
          <w:rFonts w:ascii="Arial" w:hAnsi="Arial" w:cs="Arial"/>
          <w:color w:val="757575"/>
          <w:sz w:val="20"/>
          <w:szCs w:val="20"/>
          <w:shd w:val="clear" w:color="auto" w:fill="FFFFFF"/>
        </w:rPr>
      </w:pPr>
      <w:r w:rsidRPr="0069320D">
        <w:rPr>
          <w:rFonts w:ascii="Arial" w:hAnsi="Arial" w:cs="Arial"/>
          <w:color w:val="757575"/>
          <w:sz w:val="20"/>
          <w:szCs w:val="20"/>
          <w:shd w:val="clear" w:color="auto" w:fill="FFFFFF"/>
        </w:rPr>
        <w:t>UK temperatures have been warmer than predicted in January</w:t>
      </w:r>
    </w:p>
    <w:p w14:paraId="3E86A7CE" w14:textId="6D476694" w:rsidR="00E96113" w:rsidRPr="0069320D" w:rsidRDefault="0069320D" w:rsidP="0069320D">
      <w:pPr>
        <w:pStyle w:val="ListParagraph"/>
        <w:numPr>
          <w:ilvl w:val="0"/>
          <w:numId w:val="6"/>
        </w:numPr>
        <w:spacing w:after="0"/>
        <w:rPr>
          <w:rFonts w:ascii="Arial" w:hAnsi="Arial" w:cs="Arial"/>
          <w:color w:val="757575"/>
          <w:sz w:val="20"/>
          <w:szCs w:val="20"/>
          <w:shd w:val="clear" w:color="auto" w:fill="FFFFFF"/>
        </w:rPr>
      </w:pPr>
      <w:r w:rsidRPr="0069320D">
        <w:rPr>
          <w:rFonts w:ascii="Arial" w:hAnsi="Arial" w:cs="Arial"/>
          <w:color w:val="757575"/>
          <w:sz w:val="20"/>
          <w:szCs w:val="20"/>
          <w:shd w:val="clear" w:color="auto" w:fill="FFFFFF"/>
        </w:rPr>
        <w:t>LNG cargoes have been redirected from Asia to Europe</w:t>
      </w:r>
    </w:p>
    <w:p w14:paraId="67373FCA" w14:textId="77777777" w:rsidR="0069320D" w:rsidRDefault="0069320D" w:rsidP="0069320D">
      <w:pPr>
        <w:spacing w:after="0"/>
        <w:rPr>
          <w:rStyle w:val="Strong"/>
          <w:rFonts w:ascii="Georgia" w:hAnsi="Georgia"/>
          <w:color w:val="ED273E"/>
          <w:sz w:val="27"/>
          <w:szCs w:val="27"/>
          <w:shd w:val="clear" w:color="auto" w:fill="FFFFFF"/>
        </w:rPr>
      </w:pPr>
    </w:p>
    <w:p w14:paraId="154FC226" w14:textId="1076D53F" w:rsidR="00E96113" w:rsidRDefault="00E96113" w:rsidP="008215B7">
      <w:pPr>
        <w:spacing w:after="0"/>
        <w:rPr>
          <w:rStyle w:val="Strong"/>
          <w:rFonts w:ascii="Georgia" w:hAnsi="Georgia"/>
          <w:color w:val="ED273E"/>
          <w:sz w:val="27"/>
          <w:szCs w:val="27"/>
          <w:shd w:val="clear" w:color="auto" w:fill="FFFFFF"/>
        </w:rPr>
      </w:pPr>
    </w:p>
    <w:p w14:paraId="1E5388E3" w14:textId="45CDEECB" w:rsidR="003F6BBA" w:rsidRPr="006E0762" w:rsidRDefault="00E96113" w:rsidP="008215B7">
      <w:pPr>
        <w:spacing w:after="0"/>
        <w:rPr>
          <w:rFonts w:ascii="Georgia" w:hAnsi="Georgia"/>
          <w:b/>
          <w:bCs/>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75136" behindDoc="0" locked="0" layoutInCell="1" allowOverlap="1" wp14:anchorId="0CF02B36" wp14:editId="00D9647C">
                <wp:simplePos x="0" y="0"/>
                <wp:positionH relativeFrom="margin">
                  <wp:posOffset>-30480</wp:posOffset>
                </wp:positionH>
                <wp:positionV relativeFrom="paragraph">
                  <wp:posOffset>0</wp:posOffset>
                </wp:positionV>
                <wp:extent cx="6299835" cy="899795"/>
                <wp:effectExtent l="0" t="0" r="571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noFill/>
                          <a:miter lim="800000"/>
                          <a:headEnd/>
                          <a:tailEnd/>
                        </a:ln>
                      </wps:spPr>
                      <wps:txbx>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2B36" id="_x0000_s1027" type="#_x0000_t202" style="position:absolute;margin-left:-2.4pt;margin-top:0;width:496.05pt;height:70.8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" fillcolor="#002060" stroked="f" strokeweight="4.5pt">
                <v:textbox inset="20mm,,20mm">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v:textbox>
                <w10:wrap type="topAndBottom" anchorx="margin"/>
              </v:shape>
            </w:pict>
          </mc:Fallback>
        </mc:AlternateContent>
      </w:r>
      <w:r w:rsidR="003F6BBA">
        <w:rPr>
          <w:rStyle w:val="Strong"/>
          <w:rFonts w:ascii="Georgia" w:hAnsi="Georgia"/>
          <w:color w:val="ED273E"/>
          <w:sz w:val="27"/>
          <w:szCs w:val="27"/>
          <w:shd w:val="clear" w:color="auto" w:fill="FFFFFF"/>
        </w:rPr>
        <w:t>Gas</w:t>
      </w:r>
      <w:r w:rsidR="008215B7">
        <w:rPr>
          <w:rStyle w:val="Strong"/>
          <w:rFonts w:ascii="Georgia" w:hAnsi="Georgia"/>
          <w:color w:val="ED273E"/>
          <w:sz w:val="27"/>
          <w:szCs w:val="27"/>
          <w:shd w:val="clear" w:color="auto" w:fill="FFFFFF"/>
        </w:rPr>
        <w:t xml:space="preserve"> and </w:t>
      </w:r>
      <w:r w:rsidR="00510B72">
        <w:rPr>
          <w:rStyle w:val="Strong"/>
          <w:rFonts w:ascii="Georgia" w:hAnsi="Georgia"/>
          <w:color w:val="ED273E"/>
          <w:sz w:val="27"/>
          <w:szCs w:val="27"/>
          <w:shd w:val="clear" w:color="auto" w:fill="FFFFFF"/>
        </w:rPr>
        <w:t>Power</w:t>
      </w:r>
    </w:p>
    <w:p w14:paraId="04478811" w14:textId="4CF55AE9" w:rsidR="00FB154F" w:rsidRDefault="00F73F08" w:rsidP="00FB154F">
      <w:pPr>
        <w:tabs>
          <w:tab w:val="left" w:pos="2177"/>
        </w:tabs>
        <w:spacing w:after="0" w:line="276" w:lineRule="auto"/>
        <w:rPr>
          <w:rFonts w:ascii="Arial" w:hAnsi="Arial" w:cs="Arial"/>
          <w:color w:val="757575"/>
          <w:sz w:val="20"/>
          <w:szCs w:val="20"/>
          <w:shd w:val="clear" w:color="auto" w:fill="FFFFFF"/>
        </w:rPr>
      </w:pPr>
      <w:r w:rsidRPr="00F73F08">
        <w:rPr>
          <w:rFonts w:ascii="Arial" w:hAnsi="Arial" w:cs="Arial"/>
          <w:color w:val="757575"/>
          <w:sz w:val="20"/>
          <w:szCs w:val="20"/>
          <w:shd w:val="clear" w:color="auto" w:fill="FFFFFF"/>
        </w:rPr>
        <w:t>Gas and power contract prices have continued to decrease this year, as a strong LNG supply outlook help to soothe some of the concerns over low storage levels and weakness within the carbon markets weigh on contract prices. Prices have increased after unplanned outages in Norway reduces gas flows.</w:t>
      </w:r>
    </w:p>
    <w:p w14:paraId="7BAD797A" w14:textId="44560632" w:rsidR="00F73F08" w:rsidRDefault="00F73F08" w:rsidP="00FB154F">
      <w:pPr>
        <w:tabs>
          <w:tab w:val="left" w:pos="2177"/>
        </w:tabs>
        <w:spacing w:after="0" w:line="276" w:lineRule="auto"/>
        <w:rPr>
          <w:rFonts w:ascii="Arial" w:hAnsi="Arial" w:cs="Arial"/>
          <w:noProof/>
          <w:color w:val="757575"/>
          <w:sz w:val="20"/>
          <w:szCs w:val="20"/>
          <w:shd w:val="clear" w:color="auto" w:fill="FFFFFF"/>
        </w:rPr>
      </w:pPr>
      <w:r>
        <w:rPr>
          <w:rFonts w:ascii="Arial" w:hAnsi="Arial" w:cs="Arial"/>
          <w:noProof/>
          <w:color w:val="757575"/>
          <w:sz w:val="20"/>
          <w:szCs w:val="20"/>
          <w:shd w:val="clear" w:color="auto" w:fill="FFFFFF"/>
        </w:rPr>
        <w:drawing>
          <wp:inline distT="0" distB="0" distL="0" distR="0" wp14:anchorId="6C2AB9DB" wp14:editId="0A990A7C">
            <wp:extent cx="3018692" cy="285750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22850" cy="2861436"/>
                    </a:xfrm>
                    <a:prstGeom prst="rect">
                      <a:avLst/>
                    </a:prstGeom>
                  </pic:spPr>
                </pic:pic>
              </a:graphicData>
            </a:graphic>
          </wp:inline>
        </w:drawing>
      </w:r>
      <w:r>
        <w:rPr>
          <w:rFonts w:ascii="Arial" w:hAnsi="Arial" w:cs="Arial"/>
          <w:noProof/>
          <w:color w:val="757575"/>
          <w:sz w:val="20"/>
          <w:szCs w:val="20"/>
          <w:shd w:val="clear" w:color="auto" w:fill="FFFFFF"/>
        </w:rPr>
        <w:drawing>
          <wp:inline distT="0" distB="0" distL="0" distR="0" wp14:anchorId="7A61419B" wp14:editId="53597F98">
            <wp:extent cx="3037205" cy="2899374"/>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2976" cy="2904883"/>
                    </a:xfrm>
                    <a:prstGeom prst="rect">
                      <a:avLst/>
                    </a:prstGeom>
                  </pic:spPr>
                </pic:pic>
              </a:graphicData>
            </a:graphic>
          </wp:inline>
        </w:drawing>
      </w:r>
    </w:p>
    <w:p w14:paraId="333892AB" w14:textId="77777777" w:rsidR="00263218" w:rsidRPr="001E2287" w:rsidRDefault="00263218" w:rsidP="00FB154F">
      <w:pPr>
        <w:tabs>
          <w:tab w:val="left" w:pos="2177"/>
        </w:tabs>
        <w:spacing w:after="0" w:line="276" w:lineRule="auto"/>
        <w:rPr>
          <w:rFonts w:ascii="Arial" w:hAnsi="Arial" w:cs="Arial"/>
          <w:color w:val="757575"/>
          <w:sz w:val="20"/>
          <w:szCs w:val="20"/>
          <w:shd w:val="clear" w:color="auto" w:fill="FFFFFF"/>
        </w:rPr>
      </w:pPr>
    </w:p>
    <w:p w14:paraId="3562C33F" w14:textId="77777777" w:rsidR="00F73F08" w:rsidRPr="00F73F08" w:rsidRDefault="00F73F08" w:rsidP="00F73F08">
      <w:pPr>
        <w:tabs>
          <w:tab w:val="left" w:pos="2177"/>
        </w:tabs>
        <w:spacing w:after="0" w:line="276" w:lineRule="auto"/>
        <w:rPr>
          <w:rFonts w:ascii="Arial" w:hAnsi="Arial" w:cs="Arial"/>
          <w:color w:val="757575"/>
          <w:sz w:val="20"/>
          <w:szCs w:val="20"/>
          <w:shd w:val="clear" w:color="auto" w:fill="FFFFFF"/>
        </w:rPr>
      </w:pPr>
      <w:r w:rsidRPr="00F73F08">
        <w:rPr>
          <w:rFonts w:ascii="Arial" w:hAnsi="Arial" w:cs="Arial"/>
          <w:color w:val="757575"/>
          <w:sz w:val="20"/>
          <w:szCs w:val="20"/>
          <w:shd w:val="clear" w:color="auto" w:fill="FFFFFF"/>
        </w:rPr>
        <w:t xml:space="preserve">In the graphs, you can see </w:t>
      </w:r>
      <w:proofErr w:type="gramStart"/>
      <w:r w:rsidRPr="00F73F08">
        <w:rPr>
          <w:rFonts w:ascii="Arial" w:hAnsi="Arial" w:cs="Arial"/>
          <w:color w:val="757575"/>
          <w:sz w:val="20"/>
          <w:szCs w:val="20"/>
          <w:shd w:val="clear" w:color="auto" w:fill="FFFFFF"/>
        </w:rPr>
        <w:t>that contracts</w:t>
      </w:r>
      <w:proofErr w:type="gramEnd"/>
      <w:r w:rsidRPr="00F73F08">
        <w:rPr>
          <w:rFonts w:ascii="Arial" w:hAnsi="Arial" w:cs="Arial"/>
          <w:color w:val="757575"/>
          <w:sz w:val="20"/>
          <w:szCs w:val="20"/>
          <w:shd w:val="clear" w:color="auto" w:fill="FFFFFF"/>
        </w:rPr>
        <w:t xml:space="preserve"> starting now (Spot) and those within the month ahead (M+1) are lower than they were last month. Those purchased now for the next season (S+1), have also decreased slightly when compared to December 2021. </w:t>
      </w:r>
    </w:p>
    <w:p w14:paraId="28E9283F" w14:textId="77777777" w:rsidR="00F73F08" w:rsidRPr="00F73F08" w:rsidRDefault="00F73F08" w:rsidP="00F73F08">
      <w:pPr>
        <w:tabs>
          <w:tab w:val="left" w:pos="2177"/>
        </w:tabs>
        <w:spacing w:after="0" w:line="276" w:lineRule="auto"/>
        <w:rPr>
          <w:rFonts w:ascii="Arial" w:hAnsi="Arial" w:cs="Arial"/>
          <w:color w:val="757575"/>
          <w:sz w:val="20"/>
          <w:szCs w:val="20"/>
          <w:shd w:val="clear" w:color="auto" w:fill="FFFFFF"/>
        </w:rPr>
      </w:pPr>
    </w:p>
    <w:p w14:paraId="6B558163" w14:textId="4ADCF656" w:rsidR="00263218" w:rsidRDefault="00F73F08" w:rsidP="00F73F08">
      <w:pPr>
        <w:tabs>
          <w:tab w:val="left" w:pos="2177"/>
        </w:tabs>
        <w:spacing w:after="0" w:line="276" w:lineRule="auto"/>
        <w:rPr>
          <w:rFonts w:ascii="Arial" w:hAnsi="Arial" w:cs="Arial"/>
          <w:noProof/>
          <w:color w:val="757575"/>
          <w:sz w:val="20"/>
          <w:szCs w:val="20"/>
          <w:shd w:val="clear" w:color="auto" w:fill="FFFFFF"/>
        </w:rPr>
      </w:pPr>
      <w:r w:rsidRPr="00F73F08">
        <w:rPr>
          <w:rFonts w:ascii="Arial" w:hAnsi="Arial" w:cs="Arial"/>
          <w:color w:val="757575"/>
          <w:sz w:val="20"/>
          <w:szCs w:val="20"/>
          <w:shd w:val="clear" w:color="auto" w:fill="FFFFFF"/>
        </w:rPr>
        <w:t xml:space="preserve">A season in the business energy market is a 6-month spread and these are from April to September for "Summer" and October to March for "Winter". Purchasing these "future prices" now for contracts starting from next summer are lower, due to the expectation that the current gas volatility will have calmed, demand will have </w:t>
      </w:r>
      <w:r w:rsidR="00C35151" w:rsidRPr="00F73F08">
        <w:rPr>
          <w:rFonts w:ascii="Arial" w:hAnsi="Arial" w:cs="Arial"/>
          <w:color w:val="757575"/>
          <w:sz w:val="20"/>
          <w:szCs w:val="20"/>
          <w:shd w:val="clear" w:color="auto" w:fill="FFFFFF"/>
        </w:rPr>
        <w:t>decreased,</w:t>
      </w:r>
      <w:r w:rsidRPr="00F73F08">
        <w:rPr>
          <w:rFonts w:ascii="Arial" w:hAnsi="Arial" w:cs="Arial"/>
          <w:color w:val="757575"/>
          <w:sz w:val="20"/>
          <w:szCs w:val="20"/>
          <w:shd w:val="clear" w:color="auto" w:fill="FFFFFF"/>
        </w:rPr>
        <w:t xml:space="preserve"> and energy stores will have grown.</w:t>
      </w:r>
      <w:r w:rsidR="00263218" w:rsidRPr="00263218">
        <w:rPr>
          <w:rFonts w:ascii="Arial" w:hAnsi="Arial" w:cs="Arial"/>
          <w:noProof/>
          <w:color w:val="757575"/>
          <w:sz w:val="20"/>
          <w:szCs w:val="20"/>
          <w:shd w:val="clear" w:color="auto" w:fill="FFFFFF"/>
        </w:rPr>
        <w:t xml:space="preserve"> </w:t>
      </w:r>
    </w:p>
    <w:p w14:paraId="2384FA42" w14:textId="6E48F8A6" w:rsidR="003668C7" w:rsidRDefault="00C35151" w:rsidP="00F73F08">
      <w:pPr>
        <w:tabs>
          <w:tab w:val="left" w:pos="2177"/>
        </w:tabs>
        <w:spacing w:after="0" w:line="276" w:lineRule="auto"/>
        <w:rPr>
          <w:rFonts w:ascii="Arial" w:hAnsi="Arial" w:cs="Arial"/>
          <w:color w:val="757575"/>
          <w:sz w:val="20"/>
          <w:szCs w:val="20"/>
          <w:shd w:val="clear" w:color="auto" w:fill="FFFFFF"/>
        </w:rPr>
      </w:pPr>
      <w:r>
        <w:rPr>
          <w:rFonts w:ascii="Arial" w:hAnsi="Arial" w:cs="Arial"/>
          <w:noProof/>
          <w:color w:val="757575"/>
          <w:sz w:val="20"/>
          <w:szCs w:val="20"/>
          <w:shd w:val="clear" w:color="auto" w:fill="FFFFFF"/>
        </w:rPr>
        <w:drawing>
          <wp:anchor distT="0" distB="0" distL="114300" distR="114300" simplePos="0" relativeHeight="251678208" behindDoc="0" locked="0" layoutInCell="1" allowOverlap="1" wp14:anchorId="6C48EB1E" wp14:editId="1328669C">
            <wp:simplePos x="0" y="0"/>
            <wp:positionH relativeFrom="column">
              <wp:posOffset>3580765</wp:posOffset>
            </wp:positionH>
            <wp:positionV relativeFrom="paragraph">
              <wp:posOffset>86995</wp:posOffset>
            </wp:positionV>
            <wp:extent cx="2552700" cy="2613025"/>
            <wp:effectExtent l="0" t="0" r="0" b="0"/>
            <wp:wrapSquare wrapText="bothSides"/>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700" cy="2613025"/>
                    </a:xfrm>
                    <a:prstGeom prst="rect">
                      <a:avLst/>
                    </a:prstGeom>
                  </pic:spPr>
                </pic:pic>
              </a:graphicData>
            </a:graphic>
            <wp14:sizeRelH relativeFrom="margin">
              <wp14:pctWidth>0</wp14:pctWidth>
            </wp14:sizeRelH>
            <wp14:sizeRelV relativeFrom="margin">
              <wp14:pctHeight>0</wp14:pctHeight>
            </wp14:sizeRelV>
          </wp:anchor>
        </w:drawing>
      </w:r>
      <w:r w:rsidR="00AE340A">
        <w:rPr>
          <w:rFonts w:ascii="Helvetica" w:hAnsi="Helvetica" w:cs="Helvetica"/>
          <w:color w:val="757575"/>
          <w:sz w:val="20"/>
          <w:szCs w:val="20"/>
        </w:rPr>
        <w:br/>
      </w:r>
      <w:r w:rsidR="003668C7">
        <w:rPr>
          <w:rStyle w:val="Strong"/>
          <w:rFonts w:ascii="Georgia" w:hAnsi="Georgia"/>
          <w:color w:val="ED273E"/>
          <w:sz w:val="27"/>
          <w:szCs w:val="27"/>
          <w:shd w:val="clear" w:color="auto" w:fill="FFFFFF"/>
        </w:rPr>
        <w:t>Crude Oil</w:t>
      </w:r>
    </w:p>
    <w:p w14:paraId="74D69BDF" w14:textId="361C9A73" w:rsidR="00C35151" w:rsidRPr="00C35151" w:rsidRDefault="00C35151" w:rsidP="00C35151">
      <w:pPr>
        <w:tabs>
          <w:tab w:val="left" w:pos="2177"/>
        </w:tabs>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Brent crude increased this week following expectations of tighter oil supplies as the EIA reduced its global oil supply forecast and reported a fall in US oil inventories in their Weekly Petroleum Status Report. </w:t>
      </w:r>
    </w:p>
    <w:p w14:paraId="6826B784" w14:textId="77777777" w:rsidR="00C35151" w:rsidRPr="00C35151" w:rsidRDefault="00C35151" w:rsidP="00C35151">
      <w:pPr>
        <w:tabs>
          <w:tab w:val="left" w:pos="2177"/>
        </w:tabs>
        <w:spacing w:after="0" w:line="276" w:lineRule="auto"/>
        <w:rPr>
          <w:rFonts w:ascii="Arial" w:hAnsi="Arial" w:cs="Arial"/>
          <w:color w:val="757575"/>
          <w:sz w:val="20"/>
          <w:szCs w:val="20"/>
          <w:shd w:val="clear" w:color="auto" w:fill="FFFFFF"/>
        </w:rPr>
      </w:pPr>
    </w:p>
    <w:p w14:paraId="305B2662" w14:textId="77777777" w:rsidR="00C35151" w:rsidRPr="00C35151" w:rsidRDefault="00C35151" w:rsidP="00C35151">
      <w:pPr>
        <w:tabs>
          <w:tab w:val="left" w:pos="2177"/>
        </w:tabs>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Demand is also expected to strengthen as global economies begin to recover from the new Omicron variant.</w:t>
      </w:r>
    </w:p>
    <w:p w14:paraId="33DC58DE" w14:textId="77777777" w:rsidR="00C35151" w:rsidRPr="00C35151" w:rsidRDefault="00C35151" w:rsidP="00C35151">
      <w:pPr>
        <w:tabs>
          <w:tab w:val="left" w:pos="2177"/>
        </w:tabs>
        <w:spacing w:after="0" w:line="276" w:lineRule="auto"/>
        <w:rPr>
          <w:rFonts w:ascii="Arial" w:hAnsi="Arial" w:cs="Arial"/>
          <w:color w:val="757575"/>
          <w:sz w:val="20"/>
          <w:szCs w:val="20"/>
          <w:shd w:val="clear" w:color="auto" w:fill="FFFFFF"/>
        </w:rPr>
      </w:pPr>
    </w:p>
    <w:p w14:paraId="2749F944" w14:textId="77777777" w:rsidR="00C35151" w:rsidRPr="00C35151" w:rsidRDefault="00C35151" w:rsidP="00C35151">
      <w:pPr>
        <w:tabs>
          <w:tab w:val="left" w:pos="2177"/>
        </w:tabs>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Current price standings:</w:t>
      </w:r>
    </w:p>
    <w:p w14:paraId="351AB69A" w14:textId="5BEC7D85" w:rsidR="003668C7" w:rsidRDefault="00C35151" w:rsidP="00C35151">
      <w:pPr>
        <w:tabs>
          <w:tab w:val="left" w:pos="2177"/>
        </w:tabs>
        <w:spacing w:after="0" w:line="276" w:lineRule="auto"/>
        <w:rPr>
          <w:rStyle w:val="Strong"/>
          <w:rFonts w:ascii="Georgia" w:hAnsi="Georgia"/>
          <w:color w:val="ED273E"/>
          <w:sz w:val="27"/>
          <w:szCs w:val="27"/>
          <w:shd w:val="clear" w:color="auto" w:fill="FFFFFF"/>
        </w:rPr>
      </w:pPr>
      <w:r w:rsidRPr="00C35151">
        <w:rPr>
          <w:rFonts w:ascii="Arial" w:hAnsi="Arial" w:cs="Arial"/>
          <w:color w:val="757575"/>
          <w:sz w:val="20"/>
          <w:szCs w:val="20"/>
          <w:shd w:val="clear" w:color="auto" w:fill="FFFFFF"/>
        </w:rPr>
        <w:t>Brent Crude = $84.47/bbl</w:t>
      </w:r>
    </w:p>
    <w:p w14:paraId="68393E97" w14:textId="77777777" w:rsidR="00B36239" w:rsidRDefault="00B36239" w:rsidP="00682AD8">
      <w:pPr>
        <w:rPr>
          <w:rStyle w:val="Strong"/>
          <w:rFonts w:ascii="Georgia" w:hAnsi="Georgia"/>
          <w:color w:val="ED273E"/>
          <w:sz w:val="27"/>
          <w:szCs w:val="27"/>
          <w:shd w:val="clear" w:color="auto" w:fill="FFFFFF"/>
        </w:rPr>
      </w:pPr>
    </w:p>
    <w:p w14:paraId="7F19FC80" w14:textId="0040A543" w:rsidR="00682AD8" w:rsidRPr="00682AD8" w:rsidRDefault="003668C7" w:rsidP="00682AD8">
      <w:pPr>
        <w:rPr>
          <w:rStyle w:val="Strong"/>
          <w:rFonts w:ascii="Georgia" w:hAnsi="Georgia"/>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77184" behindDoc="0" locked="0" layoutInCell="1" allowOverlap="1" wp14:anchorId="26F9039A" wp14:editId="16A85169">
                <wp:simplePos x="0" y="0"/>
                <wp:positionH relativeFrom="margin">
                  <wp:posOffset>-78105</wp:posOffset>
                </wp:positionH>
                <wp:positionV relativeFrom="paragraph">
                  <wp:posOffset>0</wp:posOffset>
                </wp:positionV>
                <wp:extent cx="6299835" cy="899795"/>
                <wp:effectExtent l="0" t="0" r="5715"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noFill/>
                          <a:miter lim="800000"/>
                          <a:headEnd/>
                          <a:tailEnd/>
                        </a:ln>
                      </wps:spPr>
                      <wps:txbx>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9039A" id="_x0000_s1028" type="#_x0000_t202" style="position:absolute;margin-left:-6.15pt;margin-top:0;width:496.05pt;height:70.8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" fillcolor="#002060" stroked="f" strokeweight="4.5pt">
                <v:textbox inset="20mm,,20mm">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v:textbox>
                <w10:wrap type="topAndBottom" anchorx="margin"/>
              </v:shape>
            </w:pict>
          </mc:Fallback>
        </mc:AlternateContent>
      </w:r>
      <w:r w:rsidR="00C35151">
        <w:rPr>
          <w:rStyle w:val="Strong"/>
          <w:rFonts w:ascii="Georgia" w:hAnsi="Georgia"/>
          <w:color w:val="ED273E"/>
          <w:sz w:val="27"/>
          <w:szCs w:val="27"/>
          <w:shd w:val="clear" w:color="auto" w:fill="FFFFFF"/>
        </w:rPr>
        <w:t>Restricted Russian Gas Flows</w:t>
      </w:r>
    </w:p>
    <w:p w14:paraId="0441DFF3" w14:textId="77777777" w:rsidR="00C35151" w:rsidRPr="00C35151" w:rsidRDefault="00C35151" w:rsidP="00C35151">
      <w:pPr>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Russian President Vladimir Putin has been accused by energy monitors for hugely reducing Russian gas supplies to the rest of Europe to further his agenda over the Nord Stream 2 pipeline and growing tensions in Ukraine.</w:t>
      </w:r>
    </w:p>
    <w:p w14:paraId="6E39106B" w14:textId="77777777" w:rsidR="00C35151" w:rsidRPr="00C35151" w:rsidRDefault="00C35151" w:rsidP="00C35151">
      <w:pPr>
        <w:spacing w:after="0" w:line="276" w:lineRule="auto"/>
        <w:rPr>
          <w:rFonts w:ascii="Arial" w:hAnsi="Arial" w:cs="Arial"/>
          <w:color w:val="757575"/>
          <w:sz w:val="20"/>
          <w:szCs w:val="20"/>
          <w:shd w:val="clear" w:color="auto" w:fill="FFFFFF"/>
        </w:rPr>
      </w:pPr>
    </w:p>
    <w:p w14:paraId="1E37B9FB" w14:textId="77777777" w:rsidR="00C35151" w:rsidRPr="00C35151" w:rsidRDefault="00C35151" w:rsidP="00C35151">
      <w:pPr>
        <w:spacing w:after="0" w:line="276" w:lineRule="auto"/>
        <w:rPr>
          <w:rFonts w:ascii="Arial" w:hAnsi="Arial" w:cs="Arial"/>
          <w:color w:val="757575"/>
          <w:sz w:val="20"/>
          <w:szCs w:val="20"/>
          <w:shd w:val="clear" w:color="auto" w:fill="FFFFFF"/>
        </w:rPr>
      </w:pPr>
      <w:proofErr w:type="spellStart"/>
      <w:r w:rsidRPr="00C35151">
        <w:rPr>
          <w:rFonts w:ascii="Arial" w:hAnsi="Arial" w:cs="Arial"/>
          <w:color w:val="757575"/>
          <w:sz w:val="20"/>
          <w:szCs w:val="20"/>
          <w:shd w:val="clear" w:color="auto" w:fill="FFFFFF"/>
        </w:rPr>
        <w:t>Fatih</w:t>
      </w:r>
      <w:proofErr w:type="spellEnd"/>
      <w:r w:rsidRPr="00C35151">
        <w:rPr>
          <w:rFonts w:ascii="Arial" w:hAnsi="Arial" w:cs="Arial"/>
          <w:color w:val="757575"/>
          <w:sz w:val="20"/>
          <w:szCs w:val="20"/>
          <w:shd w:val="clear" w:color="auto" w:fill="FFFFFF"/>
        </w:rPr>
        <w:t xml:space="preserve"> Birol, the head of the International Energy Agency (IEA) has blamed Russia for worsening Europe's natural gas crisis and even implied that the Kremlin was manufacturing an energy crisis for political ends at a time of “heightened geopolitical tensions”.</w:t>
      </w:r>
    </w:p>
    <w:p w14:paraId="5AE6953E" w14:textId="77777777" w:rsidR="00C35151" w:rsidRPr="00C35151" w:rsidRDefault="00C35151" w:rsidP="00C35151">
      <w:pPr>
        <w:spacing w:after="0" w:line="276" w:lineRule="auto"/>
        <w:rPr>
          <w:rFonts w:ascii="Arial" w:hAnsi="Arial" w:cs="Arial"/>
          <w:color w:val="757575"/>
          <w:sz w:val="20"/>
          <w:szCs w:val="20"/>
          <w:shd w:val="clear" w:color="auto" w:fill="FFFFFF"/>
        </w:rPr>
      </w:pPr>
    </w:p>
    <w:p w14:paraId="5AF85B2A" w14:textId="77777777" w:rsidR="00C35151" w:rsidRPr="00C35151" w:rsidRDefault="00C35151" w:rsidP="00C35151">
      <w:pPr>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Europe is still in a gas shortage crisis as Russia decreased its supply of gas which pushed prices to record highs at the end of 2021. Since then, a pipeline that sends gas from Russia to Germany (the Yamal Europe Pipeline) has been in reverse for 3 weeks. </w:t>
      </w:r>
    </w:p>
    <w:p w14:paraId="04CE4CD4" w14:textId="77777777" w:rsidR="00C35151" w:rsidRPr="00C35151" w:rsidRDefault="00C35151" w:rsidP="00C35151">
      <w:pPr>
        <w:spacing w:after="0" w:line="276" w:lineRule="auto"/>
        <w:rPr>
          <w:rFonts w:ascii="Arial" w:hAnsi="Arial" w:cs="Arial"/>
          <w:color w:val="757575"/>
          <w:sz w:val="20"/>
          <w:szCs w:val="20"/>
          <w:shd w:val="clear" w:color="auto" w:fill="FFFFFF"/>
        </w:rPr>
      </w:pPr>
    </w:p>
    <w:p w14:paraId="79660A13" w14:textId="77777777" w:rsidR="00C35151" w:rsidRPr="00C35151" w:rsidRDefault="00C35151" w:rsidP="00C35151">
      <w:pPr>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 xml:space="preserve">According to </w:t>
      </w:r>
      <w:proofErr w:type="spellStart"/>
      <w:r w:rsidRPr="00C35151">
        <w:rPr>
          <w:rFonts w:ascii="Arial" w:hAnsi="Arial" w:cs="Arial"/>
          <w:color w:val="757575"/>
          <w:sz w:val="20"/>
          <w:szCs w:val="20"/>
          <w:shd w:val="clear" w:color="auto" w:fill="FFFFFF"/>
        </w:rPr>
        <w:t>Biriol</w:t>
      </w:r>
      <w:proofErr w:type="spellEnd"/>
      <w:r w:rsidRPr="00C35151">
        <w:rPr>
          <w:rFonts w:ascii="Arial" w:hAnsi="Arial" w:cs="Arial"/>
          <w:color w:val="757575"/>
          <w:sz w:val="20"/>
          <w:szCs w:val="20"/>
          <w:shd w:val="clear" w:color="auto" w:fill="FFFFFF"/>
        </w:rPr>
        <w:t>, Putin was choking gas supply by holding back at least a third of the gas it could feasibly send to Europe. He said, “I would note that today’s low Russian gas flows to Europe coincide with heightened geopolitical tensions over Ukraine. Russia could increase deliveries to Europe by at least one-third — this is the key message.”</w:t>
      </w:r>
    </w:p>
    <w:p w14:paraId="5A9D696C" w14:textId="77777777" w:rsidR="00C35151" w:rsidRPr="00C35151" w:rsidRDefault="00C35151" w:rsidP="00C35151">
      <w:pPr>
        <w:spacing w:after="0" w:line="276" w:lineRule="auto"/>
        <w:rPr>
          <w:rFonts w:ascii="Arial" w:hAnsi="Arial" w:cs="Arial"/>
          <w:color w:val="757575"/>
          <w:sz w:val="20"/>
          <w:szCs w:val="20"/>
          <w:shd w:val="clear" w:color="auto" w:fill="FFFFFF"/>
        </w:rPr>
      </w:pPr>
    </w:p>
    <w:p w14:paraId="03CC1FC0" w14:textId="609CA3F4" w:rsidR="00A56A96" w:rsidRDefault="00C35151" w:rsidP="00C35151">
      <w:pPr>
        <w:spacing w:after="0" w:line="276" w:lineRule="auto"/>
        <w:rPr>
          <w:rFonts w:ascii="Arial" w:hAnsi="Arial" w:cs="Arial"/>
          <w:color w:val="757575"/>
          <w:sz w:val="20"/>
          <w:szCs w:val="20"/>
          <w:shd w:val="clear" w:color="auto" w:fill="FFFFFF"/>
        </w:rPr>
      </w:pPr>
      <w:r w:rsidRPr="00C35151">
        <w:rPr>
          <w:rFonts w:ascii="Arial" w:hAnsi="Arial" w:cs="Arial"/>
          <w:color w:val="757575"/>
          <w:sz w:val="20"/>
          <w:szCs w:val="20"/>
          <w:shd w:val="clear" w:color="auto" w:fill="FFFFFF"/>
        </w:rPr>
        <w:t xml:space="preserve">One-third of the gas supplies amount to approximately 10% of Europe’s energy needs however Russia has been signing new supply deals or revamping long-term contracts outside of Europe, demonstrating how they are no longer fully dependent on Europe for its commodity revenues. The pressure is now on Brussels, and if the EU does overstep </w:t>
      </w:r>
      <w:r w:rsidR="00D17674" w:rsidRPr="00C35151">
        <w:rPr>
          <w:rFonts w:ascii="Arial" w:hAnsi="Arial" w:cs="Arial"/>
          <w:color w:val="757575"/>
          <w:sz w:val="20"/>
          <w:szCs w:val="20"/>
          <w:shd w:val="clear" w:color="auto" w:fill="FFFFFF"/>
        </w:rPr>
        <w:t>here,</w:t>
      </w:r>
      <w:r w:rsidRPr="00C35151">
        <w:rPr>
          <w:rFonts w:ascii="Arial" w:hAnsi="Arial" w:cs="Arial"/>
          <w:color w:val="757575"/>
          <w:sz w:val="20"/>
          <w:szCs w:val="20"/>
          <w:shd w:val="clear" w:color="auto" w:fill="FFFFFF"/>
        </w:rPr>
        <w:t xml:space="preserve"> it could face plenty more energy crises in the future.</w:t>
      </w:r>
    </w:p>
    <w:p w14:paraId="6D2F803E" w14:textId="18FA34CB" w:rsidR="00A56A96" w:rsidRDefault="00A56A96" w:rsidP="001E184A">
      <w:pPr>
        <w:spacing w:after="0" w:line="276" w:lineRule="auto"/>
        <w:rPr>
          <w:rFonts w:ascii="Arial" w:hAnsi="Arial" w:cs="Arial"/>
          <w:color w:val="757575"/>
          <w:sz w:val="20"/>
          <w:szCs w:val="20"/>
          <w:shd w:val="clear" w:color="auto" w:fill="FFFFFF"/>
        </w:rPr>
      </w:pPr>
    </w:p>
    <w:p w14:paraId="51C7FD14" w14:textId="77777777" w:rsidR="00B36239" w:rsidRDefault="00B36239" w:rsidP="001E184A">
      <w:pPr>
        <w:spacing w:after="0" w:line="276" w:lineRule="auto"/>
        <w:rPr>
          <w:rFonts w:ascii="Arial" w:hAnsi="Arial" w:cs="Arial"/>
          <w:color w:val="757575"/>
          <w:sz w:val="20"/>
          <w:szCs w:val="20"/>
          <w:shd w:val="clear" w:color="auto" w:fill="FFFFFF"/>
        </w:rPr>
      </w:pPr>
    </w:p>
    <w:p w14:paraId="14EB12CC" w14:textId="77777777" w:rsidR="00FD57BF" w:rsidRDefault="00FD57BF" w:rsidP="001E184A">
      <w:pPr>
        <w:spacing w:after="0" w:line="276" w:lineRule="auto"/>
        <w:rPr>
          <w:rFonts w:ascii="Arial" w:hAnsi="Arial" w:cs="Arial"/>
          <w:color w:val="757575"/>
          <w:sz w:val="20"/>
          <w:szCs w:val="20"/>
          <w:shd w:val="clear" w:color="auto" w:fill="FFFFFF"/>
        </w:rPr>
      </w:pPr>
    </w:p>
    <w:p w14:paraId="351E7A7D" w14:textId="50F6983E" w:rsidR="00E6341E" w:rsidRDefault="000E02A1" w:rsidP="00E6341E">
      <w:pPr>
        <w:spacing w:after="0" w:line="276" w:lineRule="auto"/>
        <w:rPr>
          <w:rStyle w:val="Strong"/>
          <w:rFonts w:ascii="Georgia" w:hAnsi="Georgia"/>
          <w:color w:val="ED273E"/>
          <w:sz w:val="27"/>
          <w:szCs w:val="27"/>
          <w:shd w:val="clear" w:color="auto" w:fill="FFFFFF"/>
        </w:rPr>
      </w:pPr>
      <w:r>
        <w:rPr>
          <w:rStyle w:val="Strong"/>
          <w:rFonts w:ascii="Georgia" w:hAnsi="Georgia"/>
          <w:color w:val="ED273E"/>
          <w:sz w:val="27"/>
          <w:szCs w:val="27"/>
          <w:shd w:val="clear" w:color="auto" w:fill="FFFFFF"/>
        </w:rPr>
        <w:t>Business Energy Deemed Rates Increase</w:t>
      </w:r>
    </w:p>
    <w:p w14:paraId="41CA5898" w14:textId="77777777" w:rsidR="000E02A1" w:rsidRPr="000E02A1" w:rsidRDefault="000E02A1" w:rsidP="000E02A1">
      <w:pPr>
        <w:spacing w:after="0" w:line="276" w:lineRule="auto"/>
        <w:rPr>
          <w:rFonts w:ascii="Arial" w:hAnsi="Arial" w:cs="Arial"/>
          <w:color w:val="757575"/>
          <w:sz w:val="20"/>
          <w:szCs w:val="20"/>
          <w:shd w:val="clear" w:color="auto" w:fill="FFFFFF"/>
        </w:rPr>
      </w:pPr>
      <w:r w:rsidRPr="000E02A1">
        <w:rPr>
          <w:rFonts w:ascii="Arial" w:hAnsi="Arial" w:cs="Arial"/>
          <w:color w:val="757575"/>
          <w:sz w:val="20"/>
          <w:szCs w:val="20"/>
          <w:shd w:val="clear" w:color="auto" w:fill="FFFFFF"/>
        </w:rPr>
        <w:t>With wholesale gas prices still high and half of the UK's energy suppliers collapsing, many of the remaining suppliers have increased their "deemed rates" even further. These are the rates customers will pay when they fall out of contract.</w:t>
      </w:r>
    </w:p>
    <w:p w14:paraId="0AB5A92C" w14:textId="77777777" w:rsidR="000E02A1" w:rsidRPr="000E02A1" w:rsidRDefault="000E02A1" w:rsidP="000E02A1">
      <w:pPr>
        <w:spacing w:after="0" w:line="276" w:lineRule="auto"/>
        <w:rPr>
          <w:rFonts w:ascii="Arial" w:hAnsi="Arial" w:cs="Arial"/>
          <w:color w:val="757575"/>
          <w:sz w:val="20"/>
          <w:szCs w:val="20"/>
          <w:shd w:val="clear" w:color="auto" w:fill="FFFFFF"/>
        </w:rPr>
      </w:pPr>
    </w:p>
    <w:p w14:paraId="7627AA50" w14:textId="77777777" w:rsidR="000E02A1" w:rsidRPr="000E02A1" w:rsidRDefault="000E02A1" w:rsidP="000E02A1">
      <w:pPr>
        <w:spacing w:after="0" w:line="276" w:lineRule="auto"/>
        <w:rPr>
          <w:rFonts w:ascii="Arial" w:hAnsi="Arial" w:cs="Arial"/>
          <w:color w:val="757575"/>
          <w:sz w:val="20"/>
          <w:szCs w:val="20"/>
          <w:shd w:val="clear" w:color="auto" w:fill="FFFFFF"/>
        </w:rPr>
      </w:pPr>
      <w:r w:rsidRPr="000E02A1">
        <w:rPr>
          <w:rFonts w:ascii="Arial" w:hAnsi="Arial" w:cs="Arial"/>
          <w:color w:val="757575"/>
          <w:sz w:val="20"/>
          <w:szCs w:val="20"/>
          <w:shd w:val="clear" w:color="auto" w:fill="FFFFFF"/>
        </w:rPr>
        <w:t>Business energy does not have the same rules as domestic, so whilst homeowners are protected by the Ofgem price cap to how high they can increase their deemed rates, businesses do not have this luxury. We have seen some deemed rates increase for business customers who were not aware the price cap does not apply to them and have been left out of contract and paying these substantially high rates.</w:t>
      </w:r>
    </w:p>
    <w:p w14:paraId="6ABDBB24" w14:textId="77777777" w:rsidR="000E02A1" w:rsidRPr="000E02A1" w:rsidRDefault="000E02A1" w:rsidP="000E02A1">
      <w:pPr>
        <w:spacing w:after="0" w:line="276" w:lineRule="auto"/>
        <w:rPr>
          <w:rFonts w:ascii="Arial" w:hAnsi="Arial" w:cs="Arial"/>
          <w:color w:val="757575"/>
          <w:sz w:val="20"/>
          <w:szCs w:val="20"/>
          <w:shd w:val="clear" w:color="auto" w:fill="FFFFFF"/>
        </w:rPr>
      </w:pPr>
    </w:p>
    <w:p w14:paraId="0BC14C7E" w14:textId="02251DA4" w:rsidR="000E02A1" w:rsidRPr="000E02A1" w:rsidRDefault="000E02A1" w:rsidP="000E02A1">
      <w:pPr>
        <w:spacing w:after="0" w:line="276" w:lineRule="auto"/>
        <w:rPr>
          <w:rFonts w:ascii="Arial" w:hAnsi="Arial" w:cs="Arial"/>
          <w:color w:val="757575"/>
          <w:sz w:val="20"/>
          <w:szCs w:val="20"/>
          <w:shd w:val="clear" w:color="auto" w:fill="FFFFFF"/>
        </w:rPr>
      </w:pPr>
      <w:r w:rsidRPr="000E02A1">
        <w:rPr>
          <w:rFonts w:ascii="Arial" w:hAnsi="Arial" w:cs="Arial"/>
          <w:color w:val="757575"/>
          <w:sz w:val="20"/>
          <w:szCs w:val="20"/>
          <w:shd w:val="clear" w:color="auto" w:fill="FFFFFF"/>
        </w:rPr>
        <w:t>This is due to the risk of taking on the current costs of new customers. Many suppliers usually purchase the energy needed for the customer when they sign the contract and hedge their bets on market movements. However, with the cost of wholesale gas so high, the market is still tumultuous, and suppliers are unable to increase the costs for those domestic customers who are not in a contract, suppliers have increased their deemed rates for businesses to cover the extra costs.</w:t>
      </w:r>
    </w:p>
    <w:p w14:paraId="11A02D48" w14:textId="77777777" w:rsidR="000E02A1" w:rsidRPr="000E02A1" w:rsidRDefault="000E02A1" w:rsidP="000E02A1">
      <w:pPr>
        <w:spacing w:after="0" w:line="276" w:lineRule="auto"/>
        <w:rPr>
          <w:rFonts w:ascii="Arial" w:hAnsi="Arial" w:cs="Arial"/>
          <w:color w:val="757575"/>
          <w:sz w:val="20"/>
          <w:szCs w:val="20"/>
          <w:shd w:val="clear" w:color="auto" w:fill="FFFFFF"/>
        </w:rPr>
      </w:pPr>
    </w:p>
    <w:p w14:paraId="76D36961" w14:textId="214A39CD" w:rsidR="00A56A96" w:rsidRDefault="000E02A1" w:rsidP="000E02A1">
      <w:pPr>
        <w:spacing w:after="0" w:line="276" w:lineRule="auto"/>
        <w:rPr>
          <w:rFonts w:ascii="Arial" w:hAnsi="Arial" w:cs="Arial"/>
          <w:color w:val="757575"/>
          <w:sz w:val="20"/>
          <w:szCs w:val="20"/>
          <w:shd w:val="clear" w:color="auto" w:fill="FFFFFF"/>
        </w:rPr>
      </w:pPr>
      <w:r w:rsidRPr="000E02A1">
        <w:rPr>
          <w:rFonts w:ascii="Arial" w:hAnsi="Arial" w:cs="Arial"/>
          <w:color w:val="757575"/>
          <w:sz w:val="20"/>
          <w:szCs w:val="20"/>
          <w:shd w:val="clear" w:color="auto" w:fill="FFFFFF"/>
        </w:rPr>
        <w:t>Fixing a contract rate now if you are out of contract or due for renewal within the next 18 months might be worth looking into to ensure you are not paying over the odds for your energy when it can be avoided.</w:t>
      </w:r>
    </w:p>
    <w:p w14:paraId="3798237F" w14:textId="6296978D" w:rsidR="007F5E55" w:rsidRDefault="007F5E55" w:rsidP="000E02A1">
      <w:pPr>
        <w:spacing w:after="0" w:line="276" w:lineRule="auto"/>
        <w:rPr>
          <w:rFonts w:ascii="Arial" w:hAnsi="Arial" w:cs="Arial"/>
          <w:color w:val="757575"/>
          <w:sz w:val="20"/>
          <w:szCs w:val="20"/>
          <w:shd w:val="clear" w:color="auto" w:fill="FFFFFF"/>
        </w:rPr>
      </w:pPr>
    </w:p>
    <w:p w14:paraId="58E54B72" w14:textId="77777777" w:rsidR="007F5E55" w:rsidRDefault="007F5E55" w:rsidP="007F5E55">
      <w:pPr>
        <w:spacing w:after="0" w:line="276" w:lineRule="auto"/>
        <w:rPr>
          <w:rStyle w:val="Strong"/>
          <w:rFonts w:ascii="Georgia" w:hAnsi="Georgia"/>
          <w:color w:val="ED273E"/>
          <w:sz w:val="27"/>
          <w:szCs w:val="27"/>
          <w:shd w:val="clear" w:color="auto" w:fill="FFFFFF"/>
        </w:rPr>
      </w:pPr>
    </w:p>
    <w:p w14:paraId="7052DFB9" w14:textId="77777777" w:rsidR="007F5E55" w:rsidRDefault="007F5E55" w:rsidP="007F5E55">
      <w:pPr>
        <w:spacing w:after="0" w:line="276" w:lineRule="auto"/>
        <w:rPr>
          <w:rStyle w:val="Strong"/>
          <w:rFonts w:ascii="Georgia" w:hAnsi="Georgia"/>
          <w:color w:val="ED273E"/>
          <w:sz w:val="27"/>
          <w:szCs w:val="27"/>
          <w:shd w:val="clear" w:color="auto" w:fill="FFFFFF"/>
        </w:rPr>
      </w:pPr>
    </w:p>
    <w:p w14:paraId="2B4E3059" w14:textId="77777777" w:rsidR="007F5E55" w:rsidRDefault="007F5E55" w:rsidP="007F5E55">
      <w:pPr>
        <w:spacing w:after="0" w:line="276" w:lineRule="auto"/>
        <w:rPr>
          <w:rStyle w:val="Strong"/>
          <w:rFonts w:ascii="Georgia" w:hAnsi="Georgia"/>
          <w:color w:val="ED273E"/>
          <w:sz w:val="27"/>
          <w:szCs w:val="27"/>
          <w:shd w:val="clear" w:color="auto" w:fill="FFFFFF"/>
        </w:rPr>
      </w:pPr>
    </w:p>
    <w:p w14:paraId="424F5F3E" w14:textId="2BB3C9B7" w:rsidR="007F5E55" w:rsidRDefault="007F5E55" w:rsidP="007F5E55">
      <w:pPr>
        <w:spacing w:after="0" w:line="276" w:lineRule="auto"/>
        <w:rPr>
          <w:rStyle w:val="Strong"/>
          <w:rFonts w:ascii="Georgia" w:hAnsi="Georgia"/>
          <w:color w:val="ED273E"/>
          <w:sz w:val="27"/>
          <w:szCs w:val="27"/>
          <w:shd w:val="clear" w:color="auto" w:fill="FFFFFF"/>
        </w:rPr>
      </w:pPr>
      <w:r>
        <w:rPr>
          <w:rStyle w:val="Strong"/>
          <w:rFonts w:ascii="Georgia" w:hAnsi="Georgia"/>
          <w:color w:val="ED273E"/>
          <w:sz w:val="27"/>
          <w:szCs w:val="27"/>
          <w:shd w:val="clear" w:color="auto" w:fill="FFFFFF"/>
        </w:rPr>
        <w:t>The Path to Net-Zero</w:t>
      </w:r>
    </w:p>
    <w:p w14:paraId="6E22A661" w14:textId="77777777" w:rsidR="007F5E55" w:rsidRPr="007F5E55" w:rsidRDefault="007F5E55" w:rsidP="007F5E55">
      <w:pPr>
        <w:spacing w:after="0" w:line="276" w:lineRule="auto"/>
        <w:rPr>
          <w:rFonts w:ascii="Arial" w:hAnsi="Arial" w:cs="Arial"/>
          <w:color w:val="757575"/>
          <w:sz w:val="20"/>
          <w:szCs w:val="20"/>
          <w:shd w:val="clear" w:color="auto" w:fill="FFFFFF"/>
        </w:rPr>
      </w:pPr>
      <w:r w:rsidRPr="007F5E55">
        <w:rPr>
          <w:rFonts w:ascii="Arial" w:hAnsi="Arial" w:cs="Arial"/>
          <w:color w:val="757575"/>
          <w:sz w:val="20"/>
          <w:szCs w:val="20"/>
          <w:shd w:val="clear" w:color="auto" w:fill="FFFFFF"/>
        </w:rPr>
        <w:t>In 2019 the UK government committed to a target of reducing the net emissions of greenhouse gases by 100% by 2050, compared to the levels in 1990, to keep global warming under 2 degrees.</w:t>
      </w:r>
    </w:p>
    <w:p w14:paraId="4255BF17" w14:textId="77777777" w:rsidR="007F5E55" w:rsidRPr="007F5E55" w:rsidRDefault="007F5E55" w:rsidP="007F5E55">
      <w:pPr>
        <w:spacing w:after="0" w:line="276" w:lineRule="auto"/>
        <w:rPr>
          <w:rFonts w:ascii="Arial" w:hAnsi="Arial" w:cs="Arial"/>
          <w:color w:val="757575"/>
          <w:sz w:val="20"/>
          <w:szCs w:val="20"/>
          <w:shd w:val="clear" w:color="auto" w:fill="FFFFFF"/>
        </w:rPr>
      </w:pPr>
    </w:p>
    <w:p w14:paraId="6E90B14A" w14:textId="77777777" w:rsidR="007F5E55" w:rsidRPr="007F5E55" w:rsidRDefault="007F5E55" w:rsidP="007F5E55">
      <w:pPr>
        <w:spacing w:after="0" w:line="276" w:lineRule="auto"/>
        <w:rPr>
          <w:rFonts w:ascii="Arial" w:hAnsi="Arial" w:cs="Arial"/>
          <w:color w:val="757575"/>
          <w:sz w:val="20"/>
          <w:szCs w:val="20"/>
          <w:shd w:val="clear" w:color="auto" w:fill="FFFFFF"/>
        </w:rPr>
      </w:pPr>
      <w:r w:rsidRPr="007F5E55">
        <w:rPr>
          <w:rFonts w:ascii="Arial" w:hAnsi="Arial" w:cs="Arial"/>
          <w:color w:val="757575"/>
          <w:sz w:val="20"/>
          <w:szCs w:val="20"/>
          <w:shd w:val="clear" w:color="auto" w:fill="FFFFFF"/>
        </w:rPr>
        <w:t>Since Cop-26 many businesses have started to look at their carbon footprint and how to reduce it. However, many businesses do not fully understand what the term “net-zero” means or how to achieve it. Net-zero refers to achieving a balance between the amount of greenhouse gas emissions produced and the amount removed from the atmosphere.</w:t>
      </w:r>
    </w:p>
    <w:p w14:paraId="3FEE5F37" w14:textId="77777777" w:rsidR="007F5E55" w:rsidRPr="007F5E55" w:rsidRDefault="007F5E55" w:rsidP="007F5E55">
      <w:pPr>
        <w:spacing w:after="0" w:line="276" w:lineRule="auto"/>
        <w:rPr>
          <w:rFonts w:ascii="Arial" w:hAnsi="Arial" w:cs="Arial"/>
          <w:color w:val="757575"/>
          <w:sz w:val="20"/>
          <w:szCs w:val="20"/>
          <w:shd w:val="clear" w:color="auto" w:fill="FFFFFF"/>
        </w:rPr>
      </w:pPr>
    </w:p>
    <w:p w14:paraId="36C79A39" w14:textId="0698B711" w:rsidR="007F5E55" w:rsidRPr="007F5E55" w:rsidRDefault="007F5E55" w:rsidP="007F5E55">
      <w:pPr>
        <w:spacing w:after="0" w:line="276" w:lineRule="auto"/>
        <w:rPr>
          <w:rFonts w:ascii="Arial" w:hAnsi="Arial" w:cs="Arial"/>
          <w:color w:val="757575"/>
          <w:sz w:val="20"/>
          <w:szCs w:val="20"/>
          <w:shd w:val="clear" w:color="auto" w:fill="FFFFFF"/>
        </w:rPr>
      </w:pPr>
      <w:r w:rsidRPr="007F5E55">
        <w:rPr>
          <w:rFonts w:ascii="Arial" w:hAnsi="Arial" w:cs="Arial"/>
          <w:color w:val="757575"/>
          <w:sz w:val="20"/>
          <w:szCs w:val="20"/>
          <w:shd w:val="clear" w:color="auto" w:fill="FFFFFF"/>
        </w:rPr>
        <w:t>It will soon be mandatory for businesses to have a Carbon Reduction Plan in place. This is a base document, articulating a business’s strategy; not just for reporting, but also for demonstrating their intentions to stakeholders and up and downstream supply chain partners, customers, and corporate finance.</w:t>
      </w:r>
    </w:p>
    <w:p w14:paraId="22743CFF" w14:textId="77777777" w:rsidR="007F5E55" w:rsidRPr="007F5E55" w:rsidRDefault="007F5E55" w:rsidP="007F5E55">
      <w:pPr>
        <w:spacing w:after="0" w:line="276" w:lineRule="auto"/>
        <w:rPr>
          <w:rFonts w:ascii="Arial" w:hAnsi="Arial" w:cs="Arial"/>
          <w:color w:val="757575"/>
          <w:sz w:val="20"/>
          <w:szCs w:val="20"/>
          <w:shd w:val="clear" w:color="auto" w:fill="FFFFFF"/>
        </w:rPr>
      </w:pPr>
    </w:p>
    <w:p w14:paraId="6054D6A1" w14:textId="2C662D84" w:rsidR="007F5E55" w:rsidRPr="007F5E55" w:rsidRDefault="007F5E55" w:rsidP="007F5E55">
      <w:pPr>
        <w:spacing w:after="0" w:line="276" w:lineRule="auto"/>
        <w:rPr>
          <w:rFonts w:ascii="Arial" w:hAnsi="Arial" w:cs="Arial"/>
          <w:color w:val="757575"/>
          <w:sz w:val="20"/>
          <w:szCs w:val="20"/>
          <w:shd w:val="clear" w:color="auto" w:fill="FFFFFF"/>
        </w:rPr>
      </w:pPr>
      <w:r w:rsidRPr="007F5E55">
        <w:rPr>
          <w:rFonts w:ascii="Arial" w:hAnsi="Arial" w:cs="Arial"/>
          <w:color w:val="757575"/>
          <w:sz w:val="20"/>
          <w:szCs w:val="20"/>
          <w:shd w:val="clear" w:color="auto" w:fill="FFFFFF"/>
        </w:rPr>
        <w:t>You can only really have a path to net-zero if you can measure your carbon footprint. We can support and guide you to reduce your carbon footprint as well as to measure and manage the energy you use, by making impactful changes such as switching to renewable energy, making your fleet electric, and installing EV charge points to promote this and installing carbon management software to measure, report and learn where you can reduce the energy your business uses.</w:t>
      </w:r>
    </w:p>
    <w:p w14:paraId="31BAD015" w14:textId="77777777" w:rsidR="007F5E55" w:rsidRPr="007F5E55" w:rsidRDefault="007F5E55" w:rsidP="007F5E55">
      <w:pPr>
        <w:spacing w:after="0" w:line="276" w:lineRule="auto"/>
        <w:rPr>
          <w:rFonts w:ascii="Arial" w:hAnsi="Arial" w:cs="Arial"/>
          <w:color w:val="757575"/>
          <w:sz w:val="20"/>
          <w:szCs w:val="20"/>
          <w:shd w:val="clear" w:color="auto" w:fill="FFFFFF"/>
        </w:rPr>
      </w:pPr>
    </w:p>
    <w:p w14:paraId="4640E2F3" w14:textId="66CD7730" w:rsidR="007F5E55" w:rsidRPr="00107591" w:rsidRDefault="007F5E55" w:rsidP="007F5E55">
      <w:pPr>
        <w:spacing w:after="0" w:line="276" w:lineRule="auto"/>
        <w:rPr>
          <w:rFonts w:ascii="Arial" w:hAnsi="Arial" w:cs="Arial"/>
          <w:color w:val="757575"/>
          <w:sz w:val="20"/>
          <w:szCs w:val="20"/>
          <w:shd w:val="clear" w:color="auto" w:fill="FFFFFF"/>
        </w:rPr>
      </w:pPr>
      <w:r w:rsidRPr="007F5E55">
        <w:rPr>
          <w:rFonts w:ascii="Arial" w:hAnsi="Arial" w:cs="Arial"/>
          <w:color w:val="757575"/>
          <w:sz w:val="20"/>
          <w:szCs w:val="20"/>
          <w:shd w:val="clear" w:color="auto" w:fill="FFFFFF"/>
        </w:rPr>
        <w:t>Whatever happens now, whatever you do next as a business, this is where the spirit of the law resides; in finding net-zero.</w:t>
      </w:r>
    </w:p>
    <w:sectPr w:rsidR="007F5E55" w:rsidRPr="00107591" w:rsidSect="007E4D00">
      <w:headerReference w:type="default" r:id="rId14"/>
      <w:footerReference w:type="default" r:id="rId15"/>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0096" w14:textId="77777777" w:rsidR="008B4751" w:rsidRDefault="008B4751" w:rsidP="00111B4C">
      <w:pPr>
        <w:spacing w:after="0" w:line="240" w:lineRule="auto"/>
      </w:pPr>
      <w:r>
        <w:separator/>
      </w:r>
    </w:p>
  </w:endnote>
  <w:endnote w:type="continuationSeparator" w:id="0">
    <w:p w14:paraId="4D813BFE" w14:textId="77777777" w:rsidR="008B4751" w:rsidRDefault="008B4751" w:rsidP="001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1D7" w14:textId="2CE9B0F0" w:rsidR="000C6049" w:rsidRDefault="00A26A74">
    <w:pPr>
      <w:pStyle w:val="Footer"/>
    </w:pPr>
    <w:r w:rsidRPr="00C3678B">
      <w:rPr>
        <w:rFonts w:ascii="Helvetica" w:hAnsi="Helvetica" w:cs="Helvetica"/>
        <w:noProof/>
        <w:sz w:val="24"/>
        <w:szCs w:val="24"/>
        <w:lang w:val="en-US"/>
      </w:rPr>
      <mc:AlternateContent>
        <mc:Choice Requires="wps">
          <w:drawing>
            <wp:anchor distT="45720" distB="45720" distL="114300" distR="114300" simplePos="0" relativeHeight="251660288" behindDoc="0" locked="0" layoutInCell="1" allowOverlap="1" wp14:anchorId="1C35B963" wp14:editId="4DF09E4F">
              <wp:simplePos x="0" y="0"/>
              <wp:positionH relativeFrom="margin">
                <wp:posOffset>-967740</wp:posOffset>
              </wp:positionH>
              <wp:positionV relativeFrom="paragraph">
                <wp:posOffset>-76933</wp:posOffset>
              </wp:positionV>
              <wp:extent cx="8199120"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800100"/>
                      </a:xfrm>
                      <a:prstGeom prst="rect">
                        <a:avLst/>
                      </a:prstGeom>
                      <a:solidFill>
                        <a:srgbClr val="002060"/>
                      </a:solidFill>
                      <a:ln w="57150">
                        <a:noFill/>
                        <a:miter lim="800000"/>
                        <a:headEnd/>
                        <a:tailEnd/>
                      </a:ln>
                    </wps:spPr>
                    <wps:txbx>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wps:txbx>
                    <wps:bodyPr rot="0" vert="horz" wrap="square" lIns="720000" tIns="108000" rIns="54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B963" id="_x0000_t202" coordsize="21600,21600" o:spt="202" path="m,l,21600r21600,l21600,xe">
              <v:stroke joinstyle="miter"/>
              <v:path gradientshapeok="t" o:connecttype="rect"/>
            </v:shapetype>
            <v:shape id="_x0000_s1029" type="#_x0000_t202" style="position:absolute;margin-left:-76.2pt;margin-top:-6.05pt;width:645.6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" fillcolor="#002060" stroked="f" strokeweight="4.5pt">
              <v:textbox inset="20mm,3mm,15mm">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9936" w14:textId="77777777" w:rsidR="008B4751" w:rsidRDefault="008B4751" w:rsidP="00111B4C">
      <w:pPr>
        <w:spacing w:after="0" w:line="240" w:lineRule="auto"/>
      </w:pPr>
      <w:r>
        <w:separator/>
      </w:r>
    </w:p>
  </w:footnote>
  <w:footnote w:type="continuationSeparator" w:id="0">
    <w:p w14:paraId="78C0C8E4" w14:textId="77777777" w:rsidR="008B4751" w:rsidRDefault="008B4751" w:rsidP="0011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8759" w14:textId="621960E1" w:rsidR="00295D3D" w:rsidRDefault="00295D3D">
    <w:pPr>
      <w:pStyle w:val="Header"/>
    </w:pPr>
    <w:r>
      <w:rPr>
        <w:noProof/>
      </w:rPr>
      <w:drawing>
        <wp:anchor distT="0" distB="0" distL="114300" distR="114300" simplePos="0" relativeHeight="251658240" behindDoc="0" locked="0" layoutInCell="1" allowOverlap="1" wp14:anchorId="02A687D6" wp14:editId="7959693F">
          <wp:simplePos x="0" y="0"/>
          <wp:positionH relativeFrom="margin">
            <wp:posOffset>2188845</wp:posOffset>
          </wp:positionH>
          <wp:positionV relativeFrom="paragraph">
            <wp:posOffset>-317500</wp:posOffset>
          </wp:positionV>
          <wp:extent cx="1880870" cy="652145"/>
          <wp:effectExtent l="0" t="0" r="5080" b="0"/>
          <wp:wrapTopAndBottom/>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ogo.jpg"/>
                  <pic:cNvPicPr/>
                </pic:nvPicPr>
                <pic:blipFill>
                  <a:blip r:embed="rId1">
                    <a:extLst>
                      <a:ext uri="{28A0092B-C50C-407E-A947-70E740481C1C}">
                        <a14:useLocalDpi xmlns:a14="http://schemas.microsoft.com/office/drawing/2010/main" val="0"/>
                      </a:ext>
                    </a:extLst>
                  </a:blip>
                  <a:stretch>
                    <a:fillRect/>
                  </a:stretch>
                </pic:blipFill>
                <pic:spPr>
                  <a:xfrm>
                    <a:off x="0" y="0"/>
                    <a:ext cx="188087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2F"/>
    <w:multiLevelType w:val="hybridMultilevel"/>
    <w:tmpl w:val="7354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97EF0"/>
    <w:multiLevelType w:val="hybridMultilevel"/>
    <w:tmpl w:val="203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918C1"/>
    <w:multiLevelType w:val="hybridMultilevel"/>
    <w:tmpl w:val="A0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A23C1"/>
    <w:multiLevelType w:val="hybridMultilevel"/>
    <w:tmpl w:val="A47A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6358D"/>
    <w:multiLevelType w:val="hybridMultilevel"/>
    <w:tmpl w:val="268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86E13"/>
    <w:multiLevelType w:val="hybridMultilevel"/>
    <w:tmpl w:val="421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A"/>
    <w:rsid w:val="00000EB1"/>
    <w:rsid w:val="0000176D"/>
    <w:rsid w:val="00002AAF"/>
    <w:rsid w:val="0000496B"/>
    <w:rsid w:val="00006BB9"/>
    <w:rsid w:val="00010ACF"/>
    <w:rsid w:val="00011E3E"/>
    <w:rsid w:val="00021CB3"/>
    <w:rsid w:val="00022632"/>
    <w:rsid w:val="00026DC9"/>
    <w:rsid w:val="00030CAF"/>
    <w:rsid w:val="000333F6"/>
    <w:rsid w:val="00036F6B"/>
    <w:rsid w:val="00041D0B"/>
    <w:rsid w:val="00042AD1"/>
    <w:rsid w:val="000525B2"/>
    <w:rsid w:val="00055D29"/>
    <w:rsid w:val="00060E3F"/>
    <w:rsid w:val="00064584"/>
    <w:rsid w:val="00065140"/>
    <w:rsid w:val="00066677"/>
    <w:rsid w:val="00072B55"/>
    <w:rsid w:val="0007349A"/>
    <w:rsid w:val="000740BA"/>
    <w:rsid w:val="00085198"/>
    <w:rsid w:val="00090299"/>
    <w:rsid w:val="000945E4"/>
    <w:rsid w:val="000A5BD7"/>
    <w:rsid w:val="000A7507"/>
    <w:rsid w:val="000A7A93"/>
    <w:rsid w:val="000B1C96"/>
    <w:rsid w:val="000B2621"/>
    <w:rsid w:val="000B2F23"/>
    <w:rsid w:val="000C074B"/>
    <w:rsid w:val="000C3622"/>
    <w:rsid w:val="000C5044"/>
    <w:rsid w:val="000C6049"/>
    <w:rsid w:val="000D17FF"/>
    <w:rsid w:val="000D3008"/>
    <w:rsid w:val="000D5A41"/>
    <w:rsid w:val="000D695F"/>
    <w:rsid w:val="000D74EA"/>
    <w:rsid w:val="000E02A1"/>
    <w:rsid w:val="000E0368"/>
    <w:rsid w:val="000E2269"/>
    <w:rsid w:val="000E6590"/>
    <w:rsid w:val="000E7298"/>
    <w:rsid w:val="000F6F68"/>
    <w:rsid w:val="00107591"/>
    <w:rsid w:val="00111B4C"/>
    <w:rsid w:val="001203BC"/>
    <w:rsid w:val="00121811"/>
    <w:rsid w:val="00122BC3"/>
    <w:rsid w:val="001308E6"/>
    <w:rsid w:val="00137E62"/>
    <w:rsid w:val="0014314F"/>
    <w:rsid w:val="00144761"/>
    <w:rsid w:val="00144F2E"/>
    <w:rsid w:val="00153A8D"/>
    <w:rsid w:val="00153EA9"/>
    <w:rsid w:val="0015588B"/>
    <w:rsid w:val="00157345"/>
    <w:rsid w:val="00161C92"/>
    <w:rsid w:val="00166628"/>
    <w:rsid w:val="00175898"/>
    <w:rsid w:val="001801C2"/>
    <w:rsid w:val="0019061F"/>
    <w:rsid w:val="0019346D"/>
    <w:rsid w:val="001A55DA"/>
    <w:rsid w:val="001B32C1"/>
    <w:rsid w:val="001B5805"/>
    <w:rsid w:val="001C357E"/>
    <w:rsid w:val="001C3E98"/>
    <w:rsid w:val="001C7DD0"/>
    <w:rsid w:val="001D318A"/>
    <w:rsid w:val="001D435A"/>
    <w:rsid w:val="001D4AFC"/>
    <w:rsid w:val="001E0D07"/>
    <w:rsid w:val="001E184A"/>
    <w:rsid w:val="001E2287"/>
    <w:rsid w:val="001E6E67"/>
    <w:rsid w:val="001F0CAB"/>
    <w:rsid w:val="001F1E40"/>
    <w:rsid w:val="001F61D2"/>
    <w:rsid w:val="00206A01"/>
    <w:rsid w:val="002076AB"/>
    <w:rsid w:val="00213101"/>
    <w:rsid w:val="00215E06"/>
    <w:rsid w:val="00216A7B"/>
    <w:rsid w:val="00224C68"/>
    <w:rsid w:val="00231497"/>
    <w:rsid w:val="00231CC0"/>
    <w:rsid w:val="00244253"/>
    <w:rsid w:val="00244897"/>
    <w:rsid w:val="0024631E"/>
    <w:rsid w:val="002463E7"/>
    <w:rsid w:val="00250719"/>
    <w:rsid w:val="00263218"/>
    <w:rsid w:val="00265D5F"/>
    <w:rsid w:val="00270639"/>
    <w:rsid w:val="002709EC"/>
    <w:rsid w:val="002738AC"/>
    <w:rsid w:val="00276ACC"/>
    <w:rsid w:val="00286F92"/>
    <w:rsid w:val="00294C2B"/>
    <w:rsid w:val="00295D3D"/>
    <w:rsid w:val="0029740F"/>
    <w:rsid w:val="002A38A0"/>
    <w:rsid w:val="002A5390"/>
    <w:rsid w:val="002B6CE2"/>
    <w:rsid w:val="002C17D0"/>
    <w:rsid w:val="002C2C01"/>
    <w:rsid w:val="002D63D9"/>
    <w:rsid w:val="002D6B8F"/>
    <w:rsid w:val="002D7403"/>
    <w:rsid w:val="002E47AE"/>
    <w:rsid w:val="002F46B1"/>
    <w:rsid w:val="00300328"/>
    <w:rsid w:val="003012FC"/>
    <w:rsid w:val="00303AD5"/>
    <w:rsid w:val="003067A6"/>
    <w:rsid w:val="00307D38"/>
    <w:rsid w:val="003100AA"/>
    <w:rsid w:val="00310906"/>
    <w:rsid w:val="0031379C"/>
    <w:rsid w:val="00320DF7"/>
    <w:rsid w:val="00332E4C"/>
    <w:rsid w:val="00341F89"/>
    <w:rsid w:val="003421B3"/>
    <w:rsid w:val="00347572"/>
    <w:rsid w:val="00353BBD"/>
    <w:rsid w:val="003668C7"/>
    <w:rsid w:val="00366E0D"/>
    <w:rsid w:val="00392067"/>
    <w:rsid w:val="00394345"/>
    <w:rsid w:val="00394789"/>
    <w:rsid w:val="003952EE"/>
    <w:rsid w:val="003A50DE"/>
    <w:rsid w:val="003A58C9"/>
    <w:rsid w:val="003A7109"/>
    <w:rsid w:val="003A7468"/>
    <w:rsid w:val="003C1B75"/>
    <w:rsid w:val="003D5761"/>
    <w:rsid w:val="003D577E"/>
    <w:rsid w:val="003E432A"/>
    <w:rsid w:val="003E76AB"/>
    <w:rsid w:val="003F31C8"/>
    <w:rsid w:val="003F459C"/>
    <w:rsid w:val="003F6BBA"/>
    <w:rsid w:val="0040111A"/>
    <w:rsid w:val="004037BF"/>
    <w:rsid w:val="00405D76"/>
    <w:rsid w:val="004100AD"/>
    <w:rsid w:val="004101D4"/>
    <w:rsid w:val="00421D5B"/>
    <w:rsid w:val="00425D87"/>
    <w:rsid w:val="0043162A"/>
    <w:rsid w:val="00434100"/>
    <w:rsid w:val="00442A99"/>
    <w:rsid w:val="00455B70"/>
    <w:rsid w:val="00462CFE"/>
    <w:rsid w:val="00470320"/>
    <w:rsid w:val="004739AB"/>
    <w:rsid w:val="004817A1"/>
    <w:rsid w:val="00484765"/>
    <w:rsid w:val="00484943"/>
    <w:rsid w:val="00484E04"/>
    <w:rsid w:val="00497B00"/>
    <w:rsid w:val="004A4AEF"/>
    <w:rsid w:val="004A4DCD"/>
    <w:rsid w:val="004A60F9"/>
    <w:rsid w:val="004A7B75"/>
    <w:rsid w:val="004B5B33"/>
    <w:rsid w:val="004B6610"/>
    <w:rsid w:val="004B7134"/>
    <w:rsid w:val="004C3982"/>
    <w:rsid w:val="004C60E1"/>
    <w:rsid w:val="004C6A27"/>
    <w:rsid w:val="004C76F1"/>
    <w:rsid w:val="004D5316"/>
    <w:rsid w:val="004D69FD"/>
    <w:rsid w:val="004E1506"/>
    <w:rsid w:val="004E627D"/>
    <w:rsid w:val="004E6EC6"/>
    <w:rsid w:val="004F10BD"/>
    <w:rsid w:val="004F665F"/>
    <w:rsid w:val="004F6AE8"/>
    <w:rsid w:val="004F70A5"/>
    <w:rsid w:val="00503E05"/>
    <w:rsid w:val="005109E3"/>
    <w:rsid w:val="00510B72"/>
    <w:rsid w:val="00514274"/>
    <w:rsid w:val="00530B77"/>
    <w:rsid w:val="005310A3"/>
    <w:rsid w:val="005313F5"/>
    <w:rsid w:val="0053612B"/>
    <w:rsid w:val="00540C8E"/>
    <w:rsid w:val="005429BA"/>
    <w:rsid w:val="00551D4D"/>
    <w:rsid w:val="00555D7B"/>
    <w:rsid w:val="005576C0"/>
    <w:rsid w:val="0055771B"/>
    <w:rsid w:val="00563815"/>
    <w:rsid w:val="00570619"/>
    <w:rsid w:val="00575D07"/>
    <w:rsid w:val="005805C1"/>
    <w:rsid w:val="0058468A"/>
    <w:rsid w:val="0059117D"/>
    <w:rsid w:val="00593B2F"/>
    <w:rsid w:val="0059534A"/>
    <w:rsid w:val="00595DAB"/>
    <w:rsid w:val="005A254D"/>
    <w:rsid w:val="005A3A3E"/>
    <w:rsid w:val="005B02C3"/>
    <w:rsid w:val="005B18FA"/>
    <w:rsid w:val="005B411C"/>
    <w:rsid w:val="005C3618"/>
    <w:rsid w:val="005C569D"/>
    <w:rsid w:val="005D1B80"/>
    <w:rsid w:val="005D22EA"/>
    <w:rsid w:val="005D307F"/>
    <w:rsid w:val="005D3B67"/>
    <w:rsid w:val="005E1C0B"/>
    <w:rsid w:val="005E461C"/>
    <w:rsid w:val="00603D29"/>
    <w:rsid w:val="006041A0"/>
    <w:rsid w:val="006106AC"/>
    <w:rsid w:val="00615540"/>
    <w:rsid w:val="00616046"/>
    <w:rsid w:val="00620244"/>
    <w:rsid w:val="00620251"/>
    <w:rsid w:val="00622512"/>
    <w:rsid w:val="00622E16"/>
    <w:rsid w:val="00625F14"/>
    <w:rsid w:val="006374C0"/>
    <w:rsid w:val="006375BC"/>
    <w:rsid w:val="00642C72"/>
    <w:rsid w:val="00656B76"/>
    <w:rsid w:val="00663A6E"/>
    <w:rsid w:val="00670A6A"/>
    <w:rsid w:val="00672F5A"/>
    <w:rsid w:val="00681FB8"/>
    <w:rsid w:val="00682AD8"/>
    <w:rsid w:val="00686B19"/>
    <w:rsid w:val="006911BD"/>
    <w:rsid w:val="006918CD"/>
    <w:rsid w:val="00692902"/>
    <w:rsid w:val="0069320D"/>
    <w:rsid w:val="00696612"/>
    <w:rsid w:val="006966C5"/>
    <w:rsid w:val="006A12DD"/>
    <w:rsid w:val="006A2542"/>
    <w:rsid w:val="006A5141"/>
    <w:rsid w:val="006C242B"/>
    <w:rsid w:val="006C2CF6"/>
    <w:rsid w:val="006C55F0"/>
    <w:rsid w:val="006C56A2"/>
    <w:rsid w:val="006D39A9"/>
    <w:rsid w:val="006D5232"/>
    <w:rsid w:val="006D5AFC"/>
    <w:rsid w:val="006E0762"/>
    <w:rsid w:val="006E2810"/>
    <w:rsid w:val="006E2BA1"/>
    <w:rsid w:val="006E2D17"/>
    <w:rsid w:val="006E4B6E"/>
    <w:rsid w:val="006F08B0"/>
    <w:rsid w:val="006F1E02"/>
    <w:rsid w:val="006F7BE5"/>
    <w:rsid w:val="0070183E"/>
    <w:rsid w:val="00702C2E"/>
    <w:rsid w:val="007031F8"/>
    <w:rsid w:val="007141FF"/>
    <w:rsid w:val="007164DF"/>
    <w:rsid w:val="0071789E"/>
    <w:rsid w:val="00723B3C"/>
    <w:rsid w:val="007300F4"/>
    <w:rsid w:val="00730D02"/>
    <w:rsid w:val="00736BD9"/>
    <w:rsid w:val="007406A8"/>
    <w:rsid w:val="007468B1"/>
    <w:rsid w:val="00746ED3"/>
    <w:rsid w:val="007614B6"/>
    <w:rsid w:val="00764369"/>
    <w:rsid w:val="00774B0C"/>
    <w:rsid w:val="0078002E"/>
    <w:rsid w:val="00784CBA"/>
    <w:rsid w:val="007878D8"/>
    <w:rsid w:val="00787953"/>
    <w:rsid w:val="00791BED"/>
    <w:rsid w:val="0079650D"/>
    <w:rsid w:val="007A10A8"/>
    <w:rsid w:val="007B1995"/>
    <w:rsid w:val="007B5FBB"/>
    <w:rsid w:val="007C070E"/>
    <w:rsid w:val="007C431F"/>
    <w:rsid w:val="007C6B7D"/>
    <w:rsid w:val="007C711B"/>
    <w:rsid w:val="007D0CE1"/>
    <w:rsid w:val="007E21A9"/>
    <w:rsid w:val="007E4D00"/>
    <w:rsid w:val="007E643F"/>
    <w:rsid w:val="007F38B9"/>
    <w:rsid w:val="007F3E27"/>
    <w:rsid w:val="007F5E55"/>
    <w:rsid w:val="00816A63"/>
    <w:rsid w:val="0082083F"/>
    <w:rsid w:val="008215B7"/>
    <w:rsid w:val="008252D5"/>
    <w:rsid w:val="008304C3"/>
    <w:rsid w:val="00830AF5"/>
    <w:rsid w:val="008316B7"/>
    <w:rsid w:val="00833C39"/>
    <w:rsid w:val="00840BE1"/>
    <w:rsid w:val="008419F9"/>
    <w:rsid w:val="00844270"/>
    <w:rsid w:val="00844B42"/>
    <w:rsid w:val="008454B8"/>
    <w:rsid w:val="00845D76"/>
    <w:rsid w:val="008507B2"/>
    <w:rsid w:val="0085597B"/>
    <w:rsid w:val="0086072D"/>
    <w:rsid w:val="008668AB"/>
    <w:rsid w:val="00870538"/>
    <w:rsid w:val="00871CA2"/>
    <w:rsid w:val="00872F6F"/>
    <w:rsid w:val="00876977"/>
    <w:rsid w:val="008828DB"/>
    <w:rsid w:val="00887252"/>
    <w:rsid w:val="00892747"/>
    <w:rsid w:val="00893397"/>
    <w:rsid w:val="008A2BBF"/>
    <w:rsid w:val="008A5AD8"/>
    <w:rsid w:val="008B4751"/>
    <w:rsid w:val="008B5369"/>
    <w:rsid w:val="008B7B86"/>
    <w:rsid w:val="008C60FD"/>
    <w:rsid w:val="008C6C8C"/>
    <w:rsid w:val="008C7CB1"/>
    <w:rsid w:val="008D01A5"/>
    <w:rsid w:val="008D5E68"/>
    <w:rsid w:val="008E5AE9"/>
    <w:rsid w:val="008E5FCC"/>
    <w:rsid w:val="008F2DE8"/>
    <w:rsid w:val="008F3BAA"/>
    <w:rsid w:val="008F6006"/>
    <w:rsid w:val="00903C95"/>
    <w:rsid w:val="00911DFD"/>
    <w:rsid w:val="0093407D"/>
    <w:rsid w:val="00937D3A"/>
    <w:rsid w:val="0094036A"/>
    <w:rsid w:val="00943783"/>
    <w:rsid w:val="00947E76"/>
    <w:rsid w:val="0095191A"/>
    <w:rsid w:val="009574C7"/>
    <w:rsid w:val="00960F9B"/>
    <w:rsid w:val="00961835"/>
    <w:rsid w:val="009648D8"/>
    <w:rsid w:val="0096649F"/>
    <w:rsid w:val="009666DC"/>
    <w:rsid w:val="00966AF8"/>
    <w:rsid w:val="009717CE"/>
    <w:rsid w:val="009725EC"/>
    <w:rsid w:val="00983192"/>
    <w:rsid w:val="00986BE8"/>
    <w:rsid w:val="009A62F9"/>
    <w:rsid w:val="009A69E0"/>
    <w:rsid w:val="009B2C5F"/>
    <w:rsid w:val="009C42D9"/>
    <w:rsid w:val="009D718D"/>
    <w:rsid w:val="009E61E4"/>
    <w:rsid w:val="009F48EF"/>
    <w:rsid w:val="00A06512"/>
    <w:rsid w:val="00A228AB"/>
    <w:rsid w:val="00A26027"/>
    <w:rsid w:val="00A26A74"/>
    <w:rsid w:val="00A3248F"/>
    <w:rsid w:val="00A32A62"/>
    <w:rsid w:val="00A369E4"/>
    <w:rsid w:val="00A4652E"/>
    <w:rsid w:val="00A4743C"/>
    <w:rsid w:val="00A51A33"/>
    <w:rsid w:val="00A55F41"/>
    <w:rsid w:val="00A56A96"/>
    <w:rsid w:val="00A6463F"/>
    <w:rsid w:val="00A670F7"/>
    <w:rsid w:val="00A6741E"/>
    <w:rsid w:val="00A71FA2"/>
    <w:rsid w:val="00A76B0E"/>
    <w:rsid w:val="00A865DE"/>
    <w:rsid w:val="00A868E4"/>
    <w:rsid w:val="00A9290E"/>
    <w:rsid w:val="00A956C1"/>
    <w:rsid w:val="00A9706B"/>
    <w:rsid w:val="00AA0995"/>
    <w:rsid w:val="00AA5D16"/>
    <w:rsid w:val="00AA642C"/>
    <w:rsid w:val="00AA755F"/>
    <w:rsid w:val="00AB0718"/>
    <w:rsid w:val="00AB16EA"/>
    <w:rsid w:val="00AB1816"/>
    <w:rsid w:val="00AB3565"/>
    <w:rsid w:val="00AB62F3"/>
    <w:rsid w:val="00AC2585"/>
    <w:rsid w:val="00AC4BBC"/>
    <w:rsid w:val="00AC5BBD"/>
    <w:rsid w:val="00AD3FDE"/>
    <w:rsid w:val="00AD7499"/>
    <w:rsid w:val="00AE340A"/>
    <w:rsid w:val="00AE347F"/>
    <w:rsid w:val="00AF5259"/>
    <w:rsid w:val="00AF614F"/>
    <w:rsid w:val="00AF62B5"/>
    <w:rsid w:val="00B04B0D"/>
    <w:rsid w:val="00B1517E"/>
    <w:rsid w:val="00B20D5A"/>
    <w:rsid w:val="00B254B8"/>
    <w:rsid w:val="00B27C9D"/>
    <w:rsid w:val="00B34AA9"/>
    <w:rsid w:val="00B3589B"/>
    <w:rsid w:val="00B36239"/>
    <w:rsid w:val="00B42688"/>
    <w:rsid w:val="00B50AA4"/>
    <w:rsid w:val="00B50B70"/>
    <w:rsid w:val="00B516EA"/>
    <w:rsid w:val="00B54C52"/>
    <w:rsid w:val="00B55956"/>
    <w:rsid w:val="00B6306E"/>
    <w:rsid w:val="00B636EC"/>
    <w:rsid w:val="00B64E47"/>
    <w:rsid w:val="00B71471"/>
    <w:rsid w:val="00B735C3"/>
    <w:rsid w:val="00B76180"/>
    <w:rsid w:val="00B8092E"/>
    <w:rsid w:val="00B81D6B"/>
    <w:rsid w:val="00B8469F"/>
    <w:rsid w:val="00B91084"/>
    <w:rsid w:val="00B92052"/>
    <w:rsid w:val="00B94A2D"/>
    <w:rsid w:val="00B955AC"/>
    <w:rsid w:val="00B95882"/>
    <w:rsid w:val="00BA3BCE"/>
    <w:rsid w:val="00BA7680"/>
    <w:rsid w:val="00BB4486"/>
    <w:rsid w:val="00BD1B53"/>
    <w:rsid w:val="00BD496D"/>
    <w:rsid w:val="00BE7869"/>
    <w:rsid w:val="00BF0110"/>
    <w:rsid w:val="00BF0388"/>
    <w:rsid w:val="00BF27F8"/>
    <w:rsid w:val="00BF3CC0"/>
    <w:rsid w:val="00BF4A2C"/>
    <w:rsid w:val="00C01AF3"/>
    <w:rsid w:val="00C02E7B"/>
    <w:rsid w:val="00C04B18"/>
    <w:rsid w:val="00C16AFB"/>
    <w:rsid w:val="00C2073D"/>
    <w:rsid w:val="00C211F2"/>
    <w:rsid w:val="00C21943"/>
    <w:rsid w:val="00C24AB8"/>
    <w:rsid w:val="00C25B81"/>
    <w:rsid w:val="00C309B5"/>
    <w:rsid w:val="00C35151"/>
    <w:rsid w:val="00C35D2D"/>
    <w:rsid w:val="00C3678B"/>
    <w:rsid w:val="00C44DAD"/>
    <w:rsid w:val="00C46DE2"/>
    <w:rsid w:val="00C71C67"/>
    <w:rsid w:val="00C73B66"/>
    <w:rsid w:val="00C74395"/>
    <w:rsid w:val="00C7711F"/>
    <w:rsid w:val="00C80A29"/>
    <w:rsid w:val="00C82D71"/>
    <w:rsid w:val="00C84C4A"/>
    <w:rsid w:val="00C86918"/>
    <w:rsid w:val="00C87FAC"/>
    <w:rsid w:val="00C92003"/>
    <w:rsid w:val="00C9399B"/>
    <w:rsid w:val="00CA1135"/>
    <w:rsid w:val="00CA29EC"/>
    <w:rsid w:val="00CA3763"/>
    <w:rsid w:val="00CA5831"/>
    <w:rsid w:val="00CB43A7"/>
    <w:rsid w:val="00CC2FA5"/>
    <w:rsid w:val="00CC5C95"/>
    <w:rsid w:val="00CD0803"/>
    <w:rsid w:val="00CD0C3E"/>
    <w:rsid w:val="00CD33E6"/>
    <w:rsid w:val="00CE666B"/>
    <w:rsid w:val="00CF12B3"/>
    <w:rsid w:val="00CF26E7"/>
    <w:rsid w:val="00D0341E"/>
    <w:rsid w:val="00D03983"/>
    <w:rsid w:val="00D07503"/>
    <w:rsid w:val="00D10AE7"/>
    <w:rsid w:val="00D11DD5"/>
    <w:rsid w:val="00D15D64"/>
    <w:rsid w:val="00D16B7D"/>
    <w:rsid w:val="00D16F93"/>
    <w:rsid w:val="00D17674"/>
    <w:rsid w:val="00D23403"/>
    <w:rsid w:val="00D3051C"/>
    <w:rsid w:val="00D3089A"/>
    <w:rsid w:val="00D30C2D"/>
    <w:rsid w:val="00D30DD2"/>
    <w:rsid w:val="00D325EA"/>
    <w:rsid w:val="00D34CFB"/>
    <w:rsid w:val="00D407FB"/>
    <w:rsid w:val="00D443C4"/>
    <w:rsid w:val="00D455A6"/>
    <w:rsid w:val="00D51021"/>
    <w:rsid w:val="00D61426"/>
    <w:rsid w:val="00D6372D"/>
    <w:rsid w:val="00D64339"/>
    <w:rsid w:val="00D7068C"/>
    <w:rsid w:val="00D74FB2"/>
    <w:rsid w:val="00D75F0F"/>
    <w:rsid w:val="00D76133"/>
    <w:rsid w:val="00D96EAD"/>
    <w:rsid w:val="00DA40AE"/>
    <w:rsid w:val="00DB2C78"/>
    <w:rsid w:val="00DB2F7C"/>
    <w:rsid w:val="00DB35B2"/>
    <w:rsid w:val="00DC0D64"/>
    <w:rsid w:val="00DC7009"/>
    <w:rsid w:val="00DC7EEA"/>
    <w:rsid w:val="00DD12E9"/>
    <w:rsid w:val="00DE5B28"/>
    <w:rsid w:val="00DF708E"/>
    <w:rsid w:val="00DF7804"/>
    <w:rsid w:val="00E00E46"/>
    <w:rsid w:val="00E02E71"/>
    <w:rsid w:val="00E037CB"/>
    <w:rsid w:val="00E17E95"/>
    <w:rsid w:val="00E21B90"/>
    <w:rsid w:val="00E23A83"/>
    <w:rsid w:val="00E25E18"/>
    <w:rsid w:val="00E31BC1"/>
    <w:rsid w:val="00E33661"/>
    <w:rsid w:val="00E33E37"/>
    <w:rsid w:val="00E35D5A"/>
    <w:rsid w:val="00E372D7"/>
    <w:rsid w:val="00E41AD8"/>
    <w:rsid w:val="00E44CBE"/>
    <w:rsid w:val="00E45972"/>
    <w:rsid w:val="00E6341E"/>
    <w:rsid w:val="00E66B83"/>
    <w:rsid w:val="00E924C8"/>
    <w:rsid w:val="00E96113"/>
    <w:rsid w:val="00EB5713"/>
    <w:rsid w:val="00EC0BF5"/>
    <w:rsid w:val="00EC18E2"/>
    <w:rsid w:val="00EC1FCF"/>
    <w:rsid w:val="00EC36FE"/>
    <w:rsid w:val="00EC3CA2"/>
    <w:rsid w:val="00ED1E9F"/>
    <w:rsid w:val="00ED2D2C"/>
    <w:rsid w:val="00ED639E"/>
    <w:rsid w:val="00EE0033"/>
    <w:rsid w:val="00EE0320"/>
    <w:rsid w:val="00EE7736"/>
    <w:rsid w:val="00EF1101"/>
    <w:rsid w:val="00EF42F8"/>
    <w:rsid w:val="00EF4B7F"/>
    <w:rsid w:val="00EF5047"/>
    <w:rsid w:val="00EF5321"/>
    <w:rsid w:val="00F13878"/>
    <w:rsid w:val="00F14320"/>
    <w:rsid w:val="00F25DD4"/>
    <w:rsid w:val="00F31D90"/>
    <w:rsid w:val="00F33C87"/>
    <w:rsid w:val="00F35D6B"/>
    <w:rsid w:val="00F42415"/>
    <w:rsid w:val="00F45BB7"/>
    <w:rsid w:val="00F479B3"/>
    <w:rsid w:val="00F505A4"/>
    <w:rsid w:val="00F55E57"/>
    <w:rsid w:val="00F73F08"/>
    <w:rsid w:val="00F8269A"/>
    <w:rsid w:val="00F91638"/>
    <w:rsid w:val="00F93A05"/>
    <w:rsid w:val="00FA0B17"/>
    <w:rsid w:val="00FB0281"/>
    <w:rsid w:val="00FB0AAD"/>
    <w:rsid w:val="00FB154F"/>
    <w:rsid w:val="00FC22A2"/>
    <w:rsid w:val="00FC3BE2"/>
    <w:rsid w:val="00FC49FA"/>
    <w:rsid w:val="00FD03D7"/>
    <w:rsid w:val="00FD1C42"/>
    <w:rsid w:val="00FD3C53"/>
    <w:rsid w:val="00FD3FC4"/>
    <w:rsid w:val="00FD57BF"/>
    <w:rsid w:val="00FE105B"/>
    <w:rsid w:val="00FE6A54"/>
    <w:rsid w:val="00FF075D"/>
    <w:rsid w:val="00FF1A79"/>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00E35"/>
  <w15:chartTrackingRefBased/>
  <w15:docId w15:val="{316D01EF-01E5-4866-ADFF-F25F23A2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9E"/>
    <w:rPr>
      <w:b/>
      <w:bCs/>
    </w:rPr>
  </w:style>
  <w:style w:type="paragraph" w:styleId="NormalWeb">
    <w:name w:val="Normal (Web)"/>
    <w:basedOn w:val="Normal"/>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78B"/>
    <w:rPr>
      <w:color w:val="0000FF"/>
      <w:u w:val="single"/>
    </w:rPr>
  </w:style>
  <w:style w:type="character" w:styleId="UnresolvedMention">
    <w:name w:val="Unresolved Mention"/>
    <w:basedOn w:val="DefaultParagraphFont"/>
    <w:uiPriority w:val="99"/>
    <w:semiHidden/>
    <w:unhideWhenUsed/>
    <w:rsid w:val="00C3678B"/>
    <w:rPr>
      <w:color w:val="605E5C"/>
      <w:shd w:val="clear" w:color="auto" w:fill="E1DFDD"/>
    </w:rPr>
  </w:style>
  <w:style w:type="character" w:styleId="Emphasis">
    <w:name w:val="Emphasis"/>
    <w:basedOn w:val="DefaultParagraphFont"/>
    <w:uiPriority w:val="20"/>
    <w:qFormat/>
    <w:rsid w:val="00BD496D"/>
    <w:rPr>
      <w:i/>
      <w:iCs/>
    </w:rPr>
  </w:style>
  <w:style w:type="paragraph" w:styleId="Header">
    <w:name w:val="header"/>
    <w:basedOn w:val="Normal"/>
    <w:link w:val="HeaderChar"/>
    <w:uiPriority w:val="99"/>
    <w:unhideWhenUsed/>
    <w:rsid w:val="0011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4C"/>
  </w:style>
  <w:style w:type="paragraph" w:styleId="Footer">
    <w:name w:val="footer"/>
    <w:basedOn w:val="Normal"/>
    <w:link w:val="FooterChar"/>
    <w:uiPriority w:val="99"/>
    <w:unhideWhenUsed/>
    <w:rsid w:val="0011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4C"/>
  </w:style>
  <w:style w:type="paragraph" w:styleId="ListParagraph">
    <w:name w:val="List Paragraph"/>
    <w:basedOn w:val="Normal"/>
    <w:uiPriority w:val="34"/>
    <w:qFormat/>
    <w:rsid w:val="00D74FB2"/>
    <w:pPr>
      <w:ind w:left="720"/>
      <w:contextualSpacing/>
    </w:pPr>
  </w:style>
  <w:style w:type="character" w:styleId="CommentReference">
    <w:name w:val="annotation reference"/>
    <w:basedOn w:val="DefaultParagraphFont"/>
    <w:uiPriority w:val="99"/>
    <w:semiHidden/>
    <w:unhideWhenUsed/>
    <w:rsid w:val="00774B0C"/>
    <w:rPr>
      <w:sz w:val="16"/>
      <w:szCs w:val="16"/>
    </w:rPr>
  </w:style>
  <w:style w:type="paragraph" w:styleId="CommentText">
    <w:name w:val="annotation text"/>
    <w:basedOn w:val="Normal"/>
    <w:link w:val="CommentTextChar"/>
    <w:uiPriority w:val="99"/>
    <w:semiHidden/>
    <w:unhideWhenUsed/>
    <w:rsid w:val="00774B0C"/>
    <w:pPr>
      <w:spacing w:line="240" w:lineRule="auto"/>
    </w:pPr>
    <w:rPr>
      <w:sz w:val="20"/>
      <w:szCs w:val="20"/>
    </w:rPr>
  </w:style>
  <w:style w:type="character" w:customStyle="1" w:styleId="CommentTextChar">
    <w:name w:val="Comment Text Char"/>
    <w:basedOn w:val="DefaultParagraphFont"/>
    <w:link w:val="CommentText"/>
    <w:uiPriority w:val="99"/>
    <w:semiHidden/>
    <w:rsid w:val="00774B0C"/>
    <w:rPr>
      <w:sz w:val="20"/>
      <w:szCs w:val="20"/>
    </w:rPr>
  </w:style>
  <w:style w:type="paragraph" w:styleId="CommentSubject">
    <w:name w:val="annotation subject"/>
    <w:basedOn w:val="CommentText"/>
    <w:next w:val="CommentText"/>
    <w:link w:val="CommentSubjectChar"/>
    <w:uiPriority w:val="99"/>
    <w:semiHidden/>
    <w:unhideWhenUsed/>
    <w:rsid w:val="00774B0C"/>
    <w:rPr>
      <w:b/>
      <w:bCs/>
    </w:rPr>
  </w:style>
  <w:style w:type="character" w:customStyle="1" w:styleId="CommentSubjectChar">
    <w:name w:val="Comment Subject Char"/>
    <w:basedOn w:val="CommentTextChar"/>
    <w:link w:val="CommentSubject"/>
    <w:uiPriority w:val="99"/>
    <w:semiHidden/>
    <w:rsid w:val="00774B0C"/>
    <w:rPr>
      <w:b/>
      <w:bCs/>
      <w:sz w:val="20"/>
      <w:szCs w:val="20"/>
    </w:rPr>
  </w:style>
  <w:style w:type="paragraph" w:styleId="NoSpacing">
    <w:name w:val="No Spacing"/>
    <w:uiPriority w:val="1"/>
    <w:qFormat/>
    <w:rsid w:val="000C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188">
      <w:bodyDiv w:val="1"/>
      <w:marLeft w:val="0"/>
      <w:marRight w:val="0"/>
      <w:marTop w:val="0"/>
      <w:marBottom w:val="0"/>
      <w:divBdr>
        <w:top w:val="none" w:sz="0" w:space="0" w:color="auto"/>
        <w:left w:val="none" w:sz="0" w:space="0" w:color="auto"/>
        <w:bottom w:val="none" w:sz="0" w:space="0" w:color="auto"/>
        <w:right w:val="none" w:sz="0" w:space="0" w:color="auto"/>
      </w:divBdr>
    </w:div>
    <w:div w:id="459691914">
      <w:bodyDiv w:val="1"/>
      <w:marLeft w:val="0"/>
      <w:marRight w:val="0"/>
      <w:marTop w:val="0"/>
      <w:marBottom w:val="0"/>
      <w:divBdr>
        <w:top w:val="none" w:sz="0" w:space="0" w:color="auto"/>
        <w:left w:val="none" w:sz="0" w:space="0" w:color="auto"/>
        <w:bottom w:val="none" w:sz="0" w:space="0" w:color="auto"/>
        <w:right w:val="none" w:sz="0" w:space="0" w:color="auto"/>
      </w:divBdr>
    </w:div>
    <w:div w:id="475270145">
      <w:bodyDiv w:val="1"/>
      <w:marLeft w:val="0"/>
      <w:marRight w:val="0"/>
      <w:marTop w:val="0"/>
      <w:marBottom w:val="0"/>
      <w:divBdr>
        <w:top w:val="none" w:sz="0" w:space="0" w:color="auto"/>
        <w:left w:val="none" w:sz="0" w:space="0" w:color="auto"/>
        <w:bottom w:val="none" w:sz="0" w:space="0" w:color="auto"/>
        <w:right w:val="none" w:sz="0" w:space="0" w:color="auto"/>
      </w:divBdr>
    </w:div>
    <w:div w:id="692073688">
      <w:bodyDiv w:val="1"/>
      <w:marLeft w:val="0"/>
      <w:marRight w:val="0"/>
      <w:marTop w:val="0"/>
      <w:marBottom w:val="0"/>
      <w:divBdr>
        <w:top w:val="none" w:sz="0" w:space="0" w:color="auto"/>
        <w:left w:val="none" w:sz="0" w:space="0" w:color="auto"/>
        <w:bottom w:val="none" w:sz="0" w:space="0" w:color="auto"/>
        <w:right w:val="none" w:sz="0" w:space="0" w:color="auto"/>
      </w:divBdr>
    </w:div>
    <w:div w:id="765075238">
      <w:bodyDiv w:val="1"/>
      <w:marLeft w:val="0"/>
      <w:marRight w:val="0"/>
      <w:marTop w:val="0"/>
      <w:marBottom w:val="0"/>
      <w:divBdr>
        <w:top w:val="none" w:sz="0" w:space="0" w:color="auto"/>
        <w:left w:val="none" w:sz="0" w:space="0" w:color="auto"/>
        <w:bottom w:val="none" w:sz="0" w:space="0" w:color="auto"/>
        <w:right w:val="none" w:sz="0" w:space="0" w:color="auto"/>
      </w:divBdr>
    </w:div>
    <w:div w:id="789515786">
      <w:bodyDiv w:val="1"/>
      <w:marLeft w:val="0"/>
      <w:marRight w:val="0"/>
      <w:marTop w:val="0"/>
      <w:marBottom w:val="0"/>
      <w:divBdr>
        <w:top w:val="none" w:sz="0" w:space="0" w:color="auto"/>
        <w:left w:val="none" w:sz="0" w:space="0" w:color="auto"/>
        <w:bottom w:val="none" w:sz="0" w:space="0" w:color="auto"/>
        <w:right w:val="none" w:sz="0" w:space="0" w:color="auto"/>
      </w:divBdr>
    </w:div>
    <w:div w:id="1043215990">
      <w:bodyDiv w:val="1"/>
      <w:marLeft w:val="0"/>
      <w:marRight w:val="0"/>
      <w:marTop w:val="0"/>
      <w:marBottom w:val="0"/>
      <w:divBdr>
        <w:top w:val="none" w:sz="0" w:space="0" w:color="auto"/>
        <w:left w:val="none" w:sz="0" w:space="0" w:color="auto"/>
        <w:bottom w:val="none" w:sz="0" w:space="0" w:color="auto"/>
        <w:right w:val="none" w:sz="0" w:space="0" w:color="auto"/>
      </w:divBdr>
    </w:div>
    <w:div w:id="1072387711">
      <w:bodyDiv w:val="1"/>
      <w:marLeft w:val="0"/>
      <w:marRight w:val="0"/>
      <w:marTop w:val="0"/>
      <w:marBottom w:val="0"/>
      <w:divBdr>
        <w:top w:val="none" w:sz="0" w:space="0" w:color="auto"/>
        <w:left w:val="none" w:sz="0" w:space="0" w:color="auto"/>
        <w:bottom w:val="none" w:sz="0" w:space="0" w:color="auto"/>
        <w:right w:val="none" w:sz="0" w:space="0" w:color="auto"/>
      </w:divBdr>
    </w:div>
    <w:div w:id="1182276320">
      <w:bodyDiv w:val="1"/>
      <w:marLeft w:val="0"/>
      <w:marRight w:val="0"/>
      <w:marTop w:val="0"/>
      <w:marBottom w:val="0"/>
      <w:divBdr>
        <w:top w:val="none" w:sz="0" w:space="0" w:color="auto"/>
        <w:left w:val="none" w:sz="0" w:space="0" w:color="auto"/>
        <w:bottom w:val="none" w:sz="0" w:space="0" w:color="auto"/>
        <w:right w:val="none" w:sz="0" w:space="0" w:color="auto"/>
      </w:divBdr>
    </w:div>
    <w:div w:id="1234270070">
      <w:bodyDiv w:val="1"/>
      <w:marLeft w:val="0"/>
      <w:marRight w:val="0"/>
      <w:marTop w:val="0"/>
      <w:marBottom w:val="0"/>
      <w:divBdr>
        <w:top w:val="none" w:sz="0" w:space="0" w:color="auto"/>
        <w:left w:val="none" w:sz="0" w:space="0" w:color="auto"/>
        <w:bottom w:val="none" w:sz="0" w:space="0" w:color="auto"/>
        <w:right w:val="none" w:sz="0" w:space="0" w:color="auto"/>
      </w:divBdr>
    </w:div>
    <w:div w:id="1424956660">
      <w:bodyDiv w:val="1"/>
      <w:marLeft w:val="0"/>
      <w:marRight w:val="0"/>
      <w:marTop w:val="0"/>
      <w:marBottom w:val="0"/>
      <w:divBdr>
        <w:top w:val="none" w:sz="0" w:space="0" w:color="auto"/>
        <w:left w:val="none" w:sz="0" w:space="0" w:color="auto"/>
        <w:bottom w:val="none" w:sz="0" w:space="0" w:color="auto"/>
        <w:right w:val="none" w:sz="0" w:space="0" w:color="auto"/>
      </w:divBdr>
    </w:div>
    <w:div w:id="1455782306">
      <w:bodyDiv w:val="1"/>
      <w:marLeft w:val="0"/>
      <w:marRight w:val="0"/>
      <w:marTop w:val="0"/>
      <w:marBottom w:val="0"/>
      <w:divBdr>
        <w:top w:val="none" w:sz="0" w:space="0" w:color="auto"/>
        <w:left w:val="none" w:sz="0" w:space="0" w:color="auto"/>
        <w:bottom w:val="none" w:sz="0" w:space="0" w:color="auto"/>
        <w:right w:val="none" w:sz="0" w:space="0" w:color="auto"/>
      </w:divBdr>
    </w:div>
    <w:div w:id="1630741632">
      <w:bodyDiv w:val="1"/>
      <w:marLeft w:val="0"/>
      <w:marRight w:val="0"/>
      <w:marTop w:val="0"/>
      <w:marBottom w:val="0"/>
      <w:divBdr>
        <w:top w:val="none" w:sz="0" w:space="0" w:color="auto"/>
        <w:left w:val="none" w:sz="0" w:space="0" w:color="auto"/>
        <w:bottom w:val="none" w:sz="0" w:space="0" w:color="auto"/>
        <w:right w:val="none" w:sz="0" w:space="0" w:color="auto"/>
      </w:divBdr>
    </w:div>
    <w:div w:id="174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6E01A6A57A147A7D87E290D343C43" ma:contentTypeVersion="13" ma:contentTypeDescription="Create a new document." ma:contentTypeScope="" ma:versionID="8812fb7306160aa92ffc453e0d6fa96c">
  <xsd:schema xmlns:xsd="http://www.w3.org/2001/XMLSchema" xmlns:xs="http://www.w3.org/2001/XMLSchema" xmlns:p="http://schemas.microsoft.com/office/2006/metadata/properties" xmlns:ns3="5dfcec9a-fd0b-4f39-a466-32e6d780c32b" xmlns:ns4="08da1290-f28e-4fd6-8ff7-e0e2f3ba1437" targetNamespace="http://schemas.microsoft.com/office/2006/metadata/properties" ma:root="true" ma:fieldsID="7ba6b4875bc7580d4c4c110f6fc9badc" ns3:_="" ns4:_="">
    <xsd:import namespace="5dfcec9a-fd0b-4f39-a466-32e6d780c32b"/>
    <xsd:import namespace="08da1290-f28e-4fd6-8ff7-e0e2f3ba1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cec9a-fd0b-4f39-a466-32e6d780c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a1290-f28e-4fd6-8ff7-e0e2f3ba14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4B69B-9EA1-4247-93DA-8B94DBE5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cec9a-fd0b-4f39-a466-32e6d780c32b"/>
    <ds:schemaRef ds:uri="08da1290-f28e-4fd6-8ff7-e0e2f3ba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2AC79-16DB-4C02-86E4-117E66F332A7}">
  <ds:schemaRefs>
    <ds:schemaRef ds:uri="http://schemas.openxmlformats.org/officeDocument/2006/bibliography"/>
  </ds:schemaRefs>
</ds:datastoreItem>
</file>

<file path=customXml/itemProps3.xml><?xml version="1.0" encoding="utf-8"?>
<ds:datastoreItem xmlns:ds="http://schemas.openxmlformats.org/officeDocument/2006/customXml" ds:itemID="{E115D671-2EFD-4052-BAEB-788C63E7E37D}">
  <ds:schemaRefs>
    <ds:schemaRef ds:uri="http://schemas.microsoft.com/sharepoint/v3/contenttype/forms"/>
  </ds:schemaRefs>
</ds:datastoreItem>
</file>

<file path=customXml/itemProps4.xml><?xml version="1.0" encoding="utf-8"?>
<ds:datastoreItem xmlns:ds="http://schemas.openxmlformats.org/officeDocument/2006/customXml" ds:itemID="{C8EA4639-4B74-4C4F-9DCE-15D3A20F9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People</dc:creator>
  <cp:keywords/>
  <dc:description/>
  <cp:lastModifiedBy>Nick Sugden</cp:lastModifiedBy>
  <cp:revision>3</cp:revision>
  <dcterms:created xsi:type="dcterms:W3CDTF">2022-01-17T09:55:00Z</dcterms:created>
  <dcterms:modified xsi:type="dcterms:W3CDTF">2022-01-17T09:55:00Z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0x010100DFD6E01A6A57A147A7D87E290D343C43</vt:lpwstr>
  </property>
</Properties>
</file>